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CBB72">
      <w:pPr>
        <w:adjustRightInd w:val="0"/>
        <w:snapToGrid w:val="0"/>
        <w:spacing w:before="312" w:beforeLines="100"/>
        <w:rPr>
          <w:rFonts w:ascii="Times New Roman" w:hAnsi="Times New Roman" w:cs="Times New Roman"/>
        </w:rPr>
      </w:pPr>
      <w:r>
        <w:rPr>
          <w:rFonts w:hint="eastAsia" w:ascii="Times New Roman" w:hAnsi="Times New Roman" w:cs="Times New Roman"/>
          <w:b/>
          <w:bCs/>
        </w:rPr>
        <w:t>Meta-Analysis/Systematic Review</w:t>
      </w:r>
    </w:p>
    <w:p w14:paraId="30A5EA2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7F39470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except for standardized ones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3C45399D">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2864ADA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4C51563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34B2B5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805650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E05414D">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05C101FE">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14:paraId="3D6E25F0">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14:paraId="7B6EC12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Meta-Analysis/Systematic 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Introduction, Methods, Results, Discussion,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t>
      </w:r>
      <w:r>
        <w:rPr>
          <w:rFonts w:hint="eastAsia" w:ascii="Times New Roman" w:hAnsi="Times New Roman"/>
          <w:b/>
          <w:bCs/>
          <w:i/>
          <w:color w:val="7F7F7F" w:themeColor="background1" w:themeShade="80"/>
          <w:sz w:val="18"/>
          <w:szCs w:val="18"/>
        </w:rPr>
        <w:t>which</w:t>
      </w:r>
      <w:r>
        <w:rPr>
          <w:rFonts w:ascii="Times New Roman" w:hAnsi="Times New Roman"/>
          <w:b/>
          <w:bCs/>
          <w:i/>
          <w:color w:val="7F7F7F" w:themeColor="background1" w:themeShade="80"/>
          <w:sz w:val="18"/>
          <w:szCs w:val="18"/>
        </w:rPr>
        <w:t xml:space="preserve"> authors should follow.</w:t>
      </w:r>
      <w:r>
        <w:rPr>
          <w:rFonts w:hint="eastAsia" w:ascii="Times New Roman" w:hAnsi="Times New Roman"/>
          <w:b/>
          <w:bCs/>
          <w:i/>
          <w:color w:val="7F7F7F" w:themeColor="background1" w:themeShade="80"/>
          <w:sz w:val="18"/>
          <w:szCs w:val="18"/>
        </w:rPr>
        <w:t xml:space="preserve"> </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 xml:space="preserve">For any questions, you may contact the </w:t>
      </w:r>
      <w:r>
        <w:fldChar w:fldCharType="begin"/>
      </w:r>
      <w:r>
        <w:instrText xml:space="preserve"> HYPERLINK "mailto:editorialoffice@vpjournal.net" </w:instrText>
      </w:r>
      <w:r>
        <w:fldChar w:fldCharType="separate"/>
      </w:r>
      <w:r>
        <w:rPr>
          <w:rStyle w:val="14"/>
          <w:rFonts w:ascii="Times New Roman" w:hAnsi="Times New Roman" w:cs="Times New Roman"/>
          <w:b/>
          <w:bCs/>
          <w:i/>
          <w:color w:val="7F7F7F" w:themeColor="background1" w:themeShade="80"/>
          <w:sz w:val="18"/>
          <w:szCs w:val="18"/>
        </w:rPr>
        <w:t>editorial office</w:t>
      </w:r>
      <w:r>
        <w:rPr>
          <w:rStyle w:val="14"/>
          <w:rFonts w:ascii="Times New Roman" w:hAnsi="Times New Roman" w:cs="Times New Roman"/>
          <w:b/>
          <w:bCs/>
          <w:i/>
          <w:color w:val="7F7F7F" w:themeColor="background1" w:themeShade="80"/>
          <w:sz w:val="18"/>
          <w:szCs w:val="18"/>
        </w:rPr>
        <w:fldChar w:fldCharType="end"/>
      </w:r>
      <w:r>
        <w:rPr>
          <w:rFonts w:ascii="Times New Roman" w:hAnsi="Times New Roman" w:cs="Times New Roman"/>
          <w:b/>
          <w:bCs/>
          <w:i/>
          <w:color w:val="7F7F7F" w:themeColor="background1" w:themeShade="80"/>
          <w:sz w:val="18"/>
          <w:szCs w:val="18"/>
        </w:rPr>
        <w:t>.</w:t>
      </w:r>
    </w:p>
    <w:p w14:paraId="306911A4">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A0D22E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188894F2">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69F12296">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14:paraId="5E51C8E5">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1C6BC902">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26B1A28C">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14:paraId="1DB691F7">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3A6BD96D">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5EE629C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E8133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71FB610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0DD7021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B32CD87">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Search strategy</w:t>
      </w:r>
      <w:r>
        <w:rPr>
          <w:rFonts w:hint="eastAsia" w:ascii="Times New Roman" w:hAnsi="Times New Roman" w:eastAsia="宋体" w:cs="Times New Roman"/>
          <w:color w:val="7F7F7F" w:themeColor="background1" w:themeShade="80"/>
          <w:kern w:val="0"/>
          <w:sz w:val="18"/>
          <w:szCs w:val="18"/>
        </w:rPr>
        <w:t>]</w:t>
      </w:r>
    </w:p>
    <w:p w14:paraId="08336A7F">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89ABF5">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hint="eastAsia" w:ascii="Times New Roman" w:hAnsi="Times New Roman" w:eastAsia="宋体" w:cs="Times New Roman"/>
          <w:i/>
          <w:color w:val="7F7F7F" w:themeColor="background1" w:themeShade="80"/>
          <w:kern w:val="0"/>
          <w:sz w:val="18"/>
          <w:szCs w:val="18"/>
        </w:rPr>
        <w:t>Data extraction, synthesis and analysis</w:t>
      </w:r>
      <w:r>
        <w:rPr>
          <w:rFonts w:hint="eastAsia" w:ascii="Times New Roman" w:hAnsi="Times New Roman" w:eastAsia="宋体" w:cs="Times New Roman"/>
          <w:color w:val="7F7F7F" w:themeColor="background1" w:themeShade="80"/>
          <w:kern w:val="0"/>
          <w:sz w:val="18"/>
          <w:szCs w:val="18"/>
        </w:rPr>
        <w:t>]</w:t>
      </w:r>
    </w:p>
    <w:p w14:paraId="69AABFA8">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6AD5A5A7">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14:paraId="19C28D1F">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4"/>
          <w:rFonts w:ascii="Times New Roman" w:hAnsi="Times New Roman" w:cs="Times New Roman"/>
          <w:b/>
          <w:bCs/>
          <w:i/>
          <w:iCs/>
          <w:color w:val="7F7F7F" w:themeColor="background1" w:themeShade="80"/>
          <w:sz w:val="18"/>
          <w:szCs w:val="18"/>
        </w:rPr>
        <w:t>http://www.wma.net/en/30publications/10policies/b3/</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14:paraId="69C67B5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1436CE3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"http://www.oaepublish.com/files/tpl/vp/Template_for_Supplementary_Material_vp.docx"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9A7B213">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3CF15DF1">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106E3413">
      <w:pPr>
        <w:numPr>
          <w:ilvl w:val="0"/>
          <w:numId w:val="2"/>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169D14F1">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7EF5DB7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7FD957D0">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36A097FB">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21419059">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022EE36A">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17EB92EC">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7C67B871">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618C578E">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4B8868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14:paraId="26E5183E">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3CCD615B">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6D35B733">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34E62833">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00F8EDFE">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46CE7EC3">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47C07AA2">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1D3E799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14:paraId="73D0377D">
            <w:pPr>
              <w:pStyle w:val="22"/>
              <w:spacing w:line="360" w:lineRule="auto"/>
              <w:jc w:val="left"/>
              <w:rPr>
                <w:lang w:val="de-DE"/>
              </w:rPr>
            </w:pPr>
          </w:p>
        </w:tc>
        <w:tc>
          <w:tcPr>
            <w:tcW w:w="1256" w:type="dxa"/>
            <w:vMerge w:val="continue"/>
            <w:vAlign w:val="center"/>
          </w:tcPr>
          <w:p w14:paraId="2D69F709">
            <w:pPr>
              <w:pStyle w:val="22"/>
              <w:spacing w:line="360" w:lineRule="auto"/>
              <w:jc w:val="left"/>
              <w:rPr>
                <w:lang w:val="de-DE"/>
              </w:rPr>
            </w:pPr>
          </w:p>
        </w:tc>
        <w:tc>
          <w:tcPr>
            <w:tcW w:w="1211" w:type="dxa"/>
            <w:vMerge w:val="continue"/>
            <w:vAlign w:val="center"/>
          </w:tcPr>
          <w:p w14:paraId="64890755">
            <w:pPr>
              <w:pStyle w:val="22"/>
              <w:spacing w:line="360" w:lineRule="auto"/>
              <w:jc w:val="left"/>
              <w:rPr>
                <w:lang w:val="de-DE"/>
              </w:rPr>
            </w:pPr>
          </w:p>
        </w:tc>
        <w:tc>
          <w:tcPr>
            <w:tcW w:w="1159" w:type="dxa"/>
            <w:vMerge w:val="continue"/>
            <w:vAlign w:val="center"/>
          </w:tcPr>
          <w:p w14:paraId="254D6C10">
            <w:pPr>
              <w:pStyle w:val="22"/>
              <w:spacing w:line="360" w:lineRule="auto"/>
              <w:jc w:val="left"/>
              <w:rPr>
                <w:lang w:val="de-DE"/>
              </w:rPr>
            </w:pPr>
          </w:p>
        </w:tc>
        <w:tc>
          <w:tcPr>
            <w:tcW w:w="1179" w:type="dxa"/>
            <w:vAlign w:val="center"/>
          </w:tcPr>
          <w:p w14:paraId="4720E1AC">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68D015E5">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1F8BC752">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631AB74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1151190C">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1A1B3F23">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05DABC1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447ADE9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6300929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7CFE94D8">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78379F8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14:paraId="578B70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16FD01EB">
            <w:pPr>
              <w:pStyle w:val="22"/>
              <w:spacing w:line="360" w:lineRule="auto"/>
              <w:jc w:val="left"/>
              <w:rPr>
                <w:lang w:val="de-DE"/>
              </w:rPr>
            </w:pPr>
          </w:p>
        </w:tc>
        <w:tc>
          <w:tcPr>
            <w:tcW w:w="1256" w:type="dxa"/>
            <w:vMerge w:val="continue"/>
            <w:vAlign w:val="center"/>
          </w:tcPr>
          <w:p w14:paraId="3F046E57">
            <w:pPr>
              <w:pStyle w:val="22"/>
              <w:spacing w:line="360" w:lineRule="auto"/>
              <w:jc w:val="left"/>
              <w:rPr>
                <w:lang w:val="de-DE"/>
              </w:rPr>
            </w:pPr>
          </w:p>
        </w:tc>
        <w:tc>
          <w:tcPr>
            <w:tcW w:w="1211" w:type="dxa"/>
            <w:vMerge w:val="continue"/>
            <w:vAlign w:val="center"/>
          </w:tcPr>
          <w:p w14:paraId="195A6CF9">
            <w:pPr>
              <w:pStyle w:val="22"/>
              <w:spacing w:line="360" w:lineRule="auto"/>
              <w:jc w:val="left"/>
              <w:rPr>
                <w:lang w:val="de-DE"/>
              </w:rPr>
            </w:pPr>
          </w:p>
        </w:tc>
        <w:tc>
          <w:tcPr>
            <w:tcW w:w="1159" w:type="dxa"/>
            <w:vMerge w:val="continue"/>
            <w:vAlign w:val="center"/>
          </w:tcPr>
          <w:p w14:paraId="6DF94036">
            <w:pPr>
              <w:pStyle w:val="22"/>
              <w:spacing w:line="360" w:lineRule="auto"/>
              <w:jc w:val="left"/>
              <w:rPr>
                <w:lang w:val="de-DE"/>
              </w:rPr>
            </w:pPr>
          </w:p>
        </w:tc>
        <w:tc>
          <w:tcPr>
            <w:tcW w:w="1179" w:type="dxa"/>
            <w:vAlign w:val="center"/>
          </w:tcPr>
          <w:p w14:paraId="1A2EFF0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3065EE6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44710BF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07A8B85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0AA59AAF">
            <w:pPr>
              <w:pStyle w:val="22"/>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493AB62A">
            <w:pPr>
              <w:pStyle w:val="22"/>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19787771">
            <w:pPr>
              <w:pStyle w:val="22"/>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7F630C65">
            <w:pPr>
              <w:pStyle w:val="22"/>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32A43095">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405F7E4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598468DB">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3BC5DC5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3110D6EE">
            <w:pPr>
              <w:pStyle w:val="22"/>
              <w:spacing w:line="360" w:lineRule="auto"/>
              <w:jc w:val="left"/>
              <w:rPr>
                <w:lang w:val="de-DE"/>
              </w:rPr>
            </w:pPr>
          </w:p>
        </w:tc>
        <w:tc>
          <w:tcPr>
            <w:tcW w:w="1256" w:type="dxa"/>
            <w:vMerge w:val="continue"/>
            <w:vAlign w:val="center"/>
          </w:tcPr>
          <w:p w14:paraId="3BD5B9C3">
            <w:pPr>
              <w:pStyle w:val="22"/>
              <w:spacing w:line="360" w:lineRule="auto"/>
              <w:jc w:val="left"/>
              <w:rPr>
                <w:lang w:val="de-DE"/>
              </w:rPr>
            </w:pPr>
          </w:p>
        </w:tc>
        <w:tc>
          <w:tcPr>
            <w:tcW w:w="1211" w:type="dxa"/>
            <w:vMerge w:val="continue"/>
            <w:vAlign w:val="center"/>
          </w:tcPr>
          <w:p w14:paraId="25A5B6D9">
            <w:pPr>
              <w:pStyle w:val="22"/>
              <w:spacing w:line="360" w:lineRule="auto"/>
              <w:jc w:val="left"/>
              <w:rPr>
                <w:lang w:val="de-DE"/>
              </w:rPr>
            </w:pPr>
          </w:p>
        </w:tc>
        <w:tc>
          <w:tcPr>
            <w:tcW w:w="1159" w:type="dxa"/>
            <w:vMerge w:val="continue"/>
            <w:vAlign w:val="center"/>
          </w:tcPr>
          <w:p w14:paraId="3C187F51">
            <w:pPr>
              <w:pStyle w:val="22"/>
              <w:spacing w:line="360" w:lineRule="auto"/>
              <w:jc w:val="left"/>
              <w:rPr>
                <w:lang w:val="de-DE"/>
              </w:rPr>
            </w:pPr>
          </w:p>
        </w:tc>
        <w:tc>
          <w:tcPr>
            <w:tcW w:w="1179" w:type="dxa"/>
            <w:vAlign w:val="center"/>
          </w:tcPr>
          <w:p w14:paraId="1E530D3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47FFCB4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214E071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4F41177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14:paraId="6C036633">
            <w:pPr>
              <w:pStyle w:val="22"/>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749D2DCB">
            <w:pPr>
              <w:pStyle w:val="22"/>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68F84DF9">
            <w:pPr>
              <w:pStyle w:val="22"/>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67AFD641">
            <w:pPr>
              <w:pStyle w:val="22"/>
              <w:spacing w:line="360" w:lineRule="auto"/>
              <w:jc w:val="left"/>
              <w:rPr>
                <w:rFonts w:ascii="Times New Roman" w:hAnsi="Times New Roman" w:eastAsia="宋体" w:cs="Times New Roman"/>
                <w:sz w:val="18"/>
                <w:szCs w:val="18"/>
                <w:lang w:val="de-DE" w:eastAsia="zh-CN"/>
              </w:rPr>
            </w:pPr>
          </w:p>
        </w:tc>
        <w:tc>
          <w:tcPr>
            <w:tcW w:w="1179" w:type="dxa"/>
            <w:vAlign w:val="center"/>
          </w:tcPr>
          <w:p w14:paraId="73E5BC9F">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7B779AE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16ADAC0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13578D2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28C0527">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05A5813F">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75549C0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5BE9F21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48C52DB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4B9769C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2B27D9B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41C1C61C">
      <w:pPr>
        <w:widowControl/>
        <w:numPr>
          <w:ilvl w:val="0"/>
          <w:numId w:val="3"/>
        </w:numPr>
        <w:shd w:val="clear" w:color="auto" w:fill="FFFFFF"/>
        <w:adjustRightInd w:val="0"/>
        <w:snapToGrid w:val="0"/>
        <w:spacing w:after="156" w:afterLines="50"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C6C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0A4B330">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51F491CC">
            <w:pPr>
              <w:pStyle w:val="26"/>
              <w:spacing w:line="260" w:lineRule="atLeast"/>
              <w:jc w:val="center"/>
              <w:rPr>
                <w:rFonts w:ascii="Times New Roman" w:hAnsi="Times New Roman"/>
              </w:rPr>
            </w:pPr>
            <w:r>
              <w:rPr>
                <w:rFonts w:ascii="Times New Roman" w:hAnsi="Times New Roman"/>
              </w:rPr>
              <w:t>(1)</w:t>
            </w:r>
          </w:p>
        </w:tc>
      </w:tr>
    </w:tbl>
    <w:p w14:paraId="75BCD3E4">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73A9E584">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7A0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224313B">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2" cstate="print"/>
                          <a:srcRect l="3164" t="6153" b="8690"/>
                          <a:stretch>
                            <a:fillRect/>
                          </a:stretch>
                        </pic:blipFill>
                        <pic:spPr>
                          <a:xfrm>
                            <a:off x="0" y="0"/>
                            <a:ext cx="2377440" cy="1567815"/>
                          </a:xfrm>
                          <a:prstGeom prst="rect">
                            <a:avLst/>
                          </a:prstGeom>
                        </pic:spPr>
                      </pic:pic>
                    </a:graphicData>
                  </a:graphic>
                </wp:inline>
              </w:drawing>
            </w:r>
          </w:p>
          <w:p w14:paraId="6B108F71">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8DE18FF">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3" cstate="print"/>
                          <a:srcRect/>
                          <a:stretch>
                            <a:fillRect/>
                          </a:stretch>
                        </pic:blipFill>
                        <pic:spPr>
                          <a:xfrm>
                            <a:off x="0" y="0"/>
                            <a:ext cx="2377440" cy="1567815"/>
                          </a:xfrm>
                          <a:prstGeom prst="rect">
                            <a:avLst/>
                          </a:prstGeom>
                        </pic:spPr>
                      </pic:pic>
                    </a:graphicData>
                  </a:graphic>
                </wp:inline>
              </w:drawing>
            </w:r>
          </w:p>
          <w:p w14:paraId="597AA35E">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4A9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BCABD57">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4" cstate="print"/>
                          <a:stretch>
                            <a:fillRect/>
                          </a:stretch>
                        </pic:blipFill>
                        <pic:spPr>
                          <a:xfrm>
                            <a:off x="0" y="0"/>
                            <a:ext cx="2486660" cy="1637665"/>
                          </a:xfrm>
                          <a:prstGeom prst="rect">
                            <a:avLst/>
                          </a:prstGeom>
                        </pic:spPr>
                      </pic:pic>
                    </a:graphicData>
                  </a:graphic>
                </wp:inline>
              </w:drawing>
            </w:r>
          </w:p>
          <w:p w14:paraId="1B15CCE8">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54B26ED0">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1454449">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552850F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09D5FD5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52A5A2A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35D4F0C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38993C4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1C23B39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770A172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17D595F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8EB2B3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DFBBC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32F09601">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61570C24">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5970573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4" w:name="OLE_LINK15"/>
      <w:bookmarkStart w:id="5"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4"/>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the Results section</w:t>
      </w:r>
      <w:bookmarkEnd w:id="5"/>
      <w:r>
        <w:rPr>
          <w:rFonts w:hint="eastAsia" w:ascii="Times New Roman" w:hAnsi="Times New Roman" w:cs="Times New Roman"/>
          <w:b/>
          <w:bCs/>
          <w:i/>
          <w:iCs/>
          <w:color w:val="7F7F7F" w:themeColor="background1" w:themeShade="80"/>
          <w:sz w:val="18"/>
          <w:szCs w:val="18"/>
        </w:rPr>
        <w:t>;</w:t>
      </w:r>
    </w:p>
    <w:p w14:paraId="2A33FB6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4FC5F00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9F5D55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3EA98EE1">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79F89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368DE92">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0B60FB7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54F703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F86757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E69A30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3A9B0A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F9A282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91092CE">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69984944">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79B25E4A">
      <w:pPr>
        <w:widowControl/>
        <w:adjustRightInd w:val="0"/>
        <w:snapToGrid w:val="0"/>
        <w:spacing w:before="156" w:beforeLines="50" w:line="260" w:lineRule="atLeast"/>
        <w:rPr>
          <w:rFonts w:ascii="Times New Roman" w:hAnsi="Times New Roman" w:cs="Times New Roman"/>
          <w:sz w:val="20"/>
          <w:szCs w:val="20"/>
        </w:rPr>
      </w:pPr>
    </w:p>
    <w:p w14:paraId="73D13227">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bookmarkStart w:id="11" w:name="_GoBack"/>
      <w:r>
        <w:rPr>
          <w:rFonts w:hint="default" w:ascii="Times New Roman" w:hAnsi="Times New Roman" w:eastAsia="宋体" w:cs="Times New Roman"/>
          <w:b/>
          <w:bCs/>
          <w:iCs/>
          <w:color w:val="auto"/>
          <w:kern w:val="0"/>
          <w:sz w:val="22"/>
          <w:szCs w:val="22"/>
          <w:highlight w:val="none"/>
          <w:lang w:val="en-US" w:eastAsia="zh-CN" w:bidi="ar"/>
        </w:rPr>
        <w:t>AI and AI-assisted tools Statement</w:t>
      </w:r>
    </w:p>
    <w:p w14:paraId="678F8049">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8DC015B">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ascii="Times New Roman" w:hAnsi="Times New Roman" w:cs="Times New Roman"/>
          <w:color w:val="auto"/>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bookmarkEnd w:id="11"/>
    <w:p w14:paraId="3E678AA6">
      <w:pPr>
        <w:widowControl/>
        <w:adjustRightInd w:val="0"/>
        <w:snapToGrid w:val="0"/>
        <w:spacing w:before="156" w:beforeLines="50" w:line="260" w:lineRule="atLeast"/>
        <w:rPr>
          <w:rFonts w:ascii="Times New Roman" w:hAnsi="Times New Roman" w:cs="Times New Roman"/>
          <w:sz w:val="20"/>
          <w:szCs w:val="20"/>
        </w:rPr>
      </w:pPr>
    </w:p>
    <w:p w14:paraId="5187F1D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CA42F5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56F9377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77BA28B">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41FED7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CD7E3EA">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2BF312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270CB2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61DA11F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0BB7A5F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529E5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1E8FD29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2A8180B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40029D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59587E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8DB471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1D27635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CD348DD">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D7CB58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2CBCEB0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43CF25D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five</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p>
    <w:p w14:paraId="155C5582">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14:paraId="6CBC9AA8">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0337D202">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3C60884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77A49D2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2BFCC94E">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6C05A0D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288A0F60">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5CF9F61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737A5EA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709E1A7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296AF3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62692F3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28E0F33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68DD0BD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538C91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68AD078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4DCFBE1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454E991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60CAC72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5557865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768B596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32B3458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6FCBCA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01B2FFA0">
      <w:pPr>
        <w:widowControl/>
        <w:adjustRightInd w:val="0"/>
        <w:snapToGrid w:val="0"/>
        <w:spacing w:line="260" w:lineRule="atLeast"/>
        <w:rPr>
          <w:rFonts w:ascii="Times New Roman" w:hAnsi="Times New Roman" w:eastAsia="宋体" w:cs="Times New Roman"/>
          <w:color w:val="000000"/>
          <w:kern w:val="0"/>
          <w:sz w:val="20"/>
          <w:szCs w:val="20"/>
        </w:rPr>
      </w:pPr>
    </w:p>
    <w:p w14:paraId="1E926AD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w:t>
      </w:r>
    </w:p>
    <w:p w14:paraId="53A2CADD">
      <w:pPr>
        <w:widowControl/>
        <w:adjustRightInd w:val="0"/>
        <w:snapToGrid w:val="0"/>
        <w:spacing w:line="260" w:lineRule="atLeast"/>
        <w:rPr>
          <w:rFonts w:ascii="Times New Roman" w:hAnsi="Times New Roman" w:eastAsia="宋体" w:cs="Times New Roman"/>
          <w:color w:val="000000"/>
          <w:kern w:val="0"/>
          <w:sz w:val="20"/>
          <w:szCs w:val="20"/>
        </w:rPr>
      </w:pPr>
    </w:p>
    <w:p w14:paraId="4ECBE63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 </w:t>
      </w:r>
    </w:p>
    <w:p w14:paraId="352C1CB0">
      <w:pPr>
        <w:widowControl/>
        <w:adjustRightInd w:val="0"/>
        <w:snapToGrid w:val="0"/>
        <w:spacing w:line="260" w:lineRule="atLeast"/>
        <w:rPr>
          <w:rFonts w:ascii="Times New Roman" w:hAnsi="Times New Roman" w:eastAsia="宋体" w:cs="Times New Roman"/>
          <w:color w:val="000000"/>
          <w:kern w:val="0"/>
          <w:sz w:val="20"/>
          <w:szCs w:val="20"/>
        </w:rPr>
      </w:pPr>
    </w:p>
    <w:p w14:paraId="5106685E">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in print </w:t>
      </w:r>
    </w:p>
    <w:p w14:paraId="15E489C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Enander RT. Lead particulate and methylene chloride risks in automotive refinishing. Ph.D. Thesis, Tufts University, Medford, MA, 2001. </w:t>
      </w:r>
    </w:p>
    <w:p w14:paraId="5574A8D7">
      <w:pPr>
        <w:widowControl/>
        <w:adjustRightInd w:val="0"/>
        <w:snapToGrid w:val="0"/>
        <w:spacing w:line="260" w:lineRule="atLeast"/>
        <w:rPr>
          <w:rFonts w:ascii="Times New Roman" w:hAnsi="Times New Roman" w:eastAsia="宋体" w:cs="Times New Roman"/>
          <w:color w:val="000000"/>
          <w:kern w:val="0"/>
          <w:sz w:val="20"/>
          <w:szCs w:val="20"/>
        </w:rPr>
      </w:pPr>
    </w:p>
    <w:p w14:paraId="59D7724A">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Website </w:t>
      </w:r>
    </w:p>
    <w:p w14:paraId="44C38AE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https://www.who.int/ [accessed 29 December 2023]. </w:t>
      </w:r>
    </w:p>
    <w:p w14:paraId="3C47D6C5">
      <w:pPr>
        <w:widowControl/>
        <w:adjustRightInd w:val="0"/>
        <w:snapToGrid w:val="0"/>
        <w:spacing w:line="260" w:lineRule="atLeast"/>
        <w:rPr>
          <w:rFonts w:ascii="Times New Roman" w:hAnsi="Times New Roman" w:eastAsia="宋体" w:cs="Times New Roman"/>
          <w:color w:val="000000"/>
          <w:kern w:val="0"/>
          <w:sz w:val="20"/>
          <w:szCs w:val="20"/>
        </w:rPr>
      </w:pPr>
    </w:p>
    <w:p w14:paraId="3DF24036">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Newspaper </w:t>
      </w:r>
    </w:p>
    <w:p w14:paraId="0541A34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https://www.pennlive.com/news/2018/11/school_district_sued_over_burn.html [accessed 29 December 2023]. </w:t>
      </w:r>
    </w:p>
    <w:p w14:paraId="606EC392">
      <w:pPr>
        <w:widowControl/>
        <w:adjustRightInd w:val="0"/>
        <w:snapToGrid w:val="0"/>
        <w:spacing w:line="260" w:lineRule="atLeast"/>
        <w:rPr>
          <w:rFonts w:ascii="Times New Roman" w:hAnsi="Times New Roman" w:eastAsia="宋体" w:cs="Times New Roman"/>
          <w:color w:val="000000"/>
          <w:kern w:val="0"/>
          <w:sz w:val="20"/>
          <w:szCs w:val="20"/>
        </w:rPr>
      </w:pPr>
    </w:p>
    <w:p w14:paraId="1390AEC6">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Database </w:t>
      </w:r>
    </w:p>
    <w:p w14:paraId="6D55E24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https://spectrabase.com/ [accessed 29 December 2023]. </w:t>
      </w:r>
    </w:p>
    <w:p w14:paraId="66529075">
      <w:pPr>
        <w:widowControl/>
        <w:adjustRightInd w:val="0"/>
        <w:snapToGrid w:val="0"/>
        <w:spacing w:line="260" w:lineRule="atLeast"/>
        <w:rPr>
          <w:rFonts w:ascii="Times New Roman" w:hAnsi="Times New Roman" w:eastAsia="宋体" w:cs="Times New Roman"/>
          <w:color w:val="000000"/>
          <w:kern w:val="0"/>
          <w:sz w:val="20"/>
          <w:szCs w:val="20"/>
        </w:rPr>
      </w:pPr>
    </w:p>
    <w:p w14:paraId="246C8735">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Patent </w:t>
      </w:r>
    </w:p>
    <w:p w14:paraId="7CDC778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Stern MK, Cheng BKM. Process for preparing N-(p-nitroaryl)amides via reaction of nitrobenzene with nitriles. US 5380946, 1995. </w:t>
      </w:r>
    </w:p>
    <w:p w14:paraId="47F6365A">
      <w:pPr>
        <w:widowControl/>
        <w:adjustRightInd w:val="0"/>
        <w:snapToGrid w:val="0"/>
        <w:spacing w:line="260" w:lineRule="atLeast"/>
        <w:rPr>
          <w:rFonts w:ascii="Times New Roman" w:hAnsi="Times New Roman" w:eastAsia="宋体" w:cs="Times New Roman"/>
          <w:color w:val="000000"/>
          <w:kern w:val="0"/>
          <w:sz w:val="20"/>
          <w:szCs w:val="20"/>
        </w:rPr>
      </w:pPr>
    </w:p>
    <w:p w14:paraId="3A1BE91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Preprint </w:t>
      </w:r>
    </w:p>
    <w:p w14:paraId="1FEB55A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https://arxiv.org/abs/2401.00044 [accessed 29 December 2023]. </w:t>
      </w:r>
    </w:p>
    <w:p w14:paraId="00B6B986">
      <w:pPr>
        <w:widowControl/>
        <w:adjustRightInd w:val="0"/>
        <w:snapToGrid w:val="0"/>
        <w:spacing w:line="260" w:lineRule="atLeast"/>
        <w:rPr>
          <w:rFonts w:ascii="Times New Roman" w:hAnsi="Times New Roman" w:eastAsia="宋体" w:cs="Times New Roman"/>
          <w:color w:val="000000"/>
          <w:kern w:val="0"/>
          <w:sz w:val="20"/>
          <w:szCs w:val="20"/>
        </w:rPr>
      </w:pPr>
    </w:p>
    <w:p w14:paraId="074EE7CC">
      <w:pPr>
        <w:widowControl/>
        <w:adjustRightInd w:val="0"/>
        <w:snapToGrid w:val="0"/>
        <w:spacing w:line="260" w:lineRule="atLeast"/>
        <w:rPr>
          <w:rFonts w:ascii="Times New Roman" w:hAnsi="Times New Roman" w:eastAsia="宋体" w:cs="Times New Roman"/>
          <w:color w:val="000000"/>
          <w:kern w:val="0"/>
          <w:sz w:val="20"/>
          <w:szCs w:val="20"/>
        </w:rPr>
      </w:pPr>
    </w:p>
    <w:p w14:paraId="15B278C2">
      <w:pPr>
        <w:widowControl/>
        <w:tabs>
          <w:tab w:val="left" w:pos="5094"/>
        </w:tabs>
        <w:adjustRightInd w:val="0"/>
        <w:snapToGrid w:val="0"/>
        <w:spacing w:before="156" w:beforeLines="50" w:after="156" w:afterLines="50" w:line="260" w:lineRule="atLeast"/>
      </w:pPr>
      <w:r>
        <w:rPr>
          <w:rFonts w:ascii="Times New Roman" w:hAnsi="Times New Roman" w:eastAsia="宋体" w:cs="Times New Roman"/>
          <w:b/>
          <w:bCs/>
          <w:i/>
          <w:iCs/>
          <w:color w:val="000000"/>
          <w:kern w:val="0"/>
          <w:sz w:val="20"/>
          <w:szCs w:val="20"/>
        </w:rPr>
        <w:t>For other types ofreferences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E93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F83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7E6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358838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BCCCC7B">
    <w:pPr>
      <w:adjustRightInd w:val="0"/>
      <w:snapToGrid w:val="0"/>
      <w:spacing w:before="240" w:line="260" w:lineRule="atLeast"/>
      <w:rPr>
        <w:rFonts w:hint="eastAsia" w:eastAsiaTheme="minorEastAsia"/>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fldChar w:fldCharType="begin"/>
    </w:r>
    <w:r>
      <w:rPr>
        <w:rFonts w:hint="eastAsia"/>
        <w:b/>
        <w:bCs/>
        <w:sz w:val="16"/>
        <w:szCs w:val="16"/>
      </w:rPr>
      <w:instrText xml:space="preserve"> HYPERLINK "http://www.oaepublish.com/vp" </w:instrText>
    </w:r>
    <w:r>
      <w:rPr>
        <w:rFonts w:hint="eastAsia"/>
        <w:b/>
        <w:bCs/>
        <w:sz w:val="16"/>
        <w:szCs w:val="16"/>
      </w:rPr>
      <w:fldChar w:fldCharType="separate"/>
    </w:r>
    <w:r>
      <w:rPr>
        <w:rStyle w:val="14"/>
        <w:rFonts w:hint="eastAsia"/>
        <w:b/>
        <w:bCs/>
        <w:sz w:val="16"/>
        <w:szCs w:val="16"/>
      </w:rPr>
      <w:t>www.oaepublish.com/vp</w:t>
    </w:r>
    <w:r>
      <w:rPr>
        <w:rFonts w:hint="eastAsia"/>
        <w:b/>
        <w:bCs/>
        <w:sz w:val="16"/>
        <w:szCs w:val="16"/>
      </w:rPr>
      <w:fldChar w:fldCharType="end"/>
    </w:r>
    <w:r>
      <w:rPr>
        <w:rFonts w:hint="eastAsia"/>
        <w:b/>
        <w:bCs/>
        <w:sz w:val="16"/>
        <w:szCs w:val="16"/>
        <w:lang w:val="en-US" w:eastAsia="zh-CN"/>
      </w:rPr>
      <w:t xml:space="preserve"> </w:t>
    </w:r>
  </w:p>
  <w:p w14:paraId="348C7E2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EB83D">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p>
  <w:p w14:paraId="3D2FEABF">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F6913">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79DE4">
    <w:pPr>
      <w:pStyle w:val="6"/>
    </w:pPr>
    <w:bookmarkStart w:id="10"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2934335</wp:posOffset>
              </wp:positionH>
              <wp:positionV relativeFrom="paragraph">
                <wp:posOffset>-3175</wp:posOffset>
              </wp:positionV>
              <wp:extent cx="2426335" cy="3632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2426335" cy="363220"/>
                      </a:xfrm>
                      <a:prstGeom prst="rect">
                        <a:avLst/>
                      </a:prstGeom>
                      <a:noFill/>
                      <a:ln w="9525">
                        <a:noFill/>
                      </a:ln>
                      <a:effectLst/>
                    </wps:spPr>
                    <wps:txbx>
                      <w:txbxContent>
                        <w:p w14:paraId="1E14A3C3">
                          <w:pPr>
                            <w:jc w:val="right"/>
                            <w:rPr>
                              <w:sz w:val="28"/>
                              <w:szCs w:val="28"/>
                            </w:rPr>
                          </w:pPr>
                          <w:r>
                            <w:rPr>
                              <w:rFonts w:hint="eastAsia" w:ascii="Arial" w:hAnsi="Arial"/>
                              <w:b/>
                              <w:color w:val="003F9A"/>
                              <w:sz w:val="28"/>
                              <w:szCs w:val="28"/>
                            </w:rPr>
                            <w:t>Vessel Plus</w:t>
                          </w:r>
                        </w:p>
                      </w:txbxContent>
                    </wps:txbx>
                    <wps:bodyPr vert="horz" anchor="t" upright="1"/>
                  </wps:wsp>
                </a:graphicData>
              </a:graphic>
            </wp:anchor>
          </w:drawing>
        </mc:Choice>
        <mc:Fallback>
          <w:pict>
            <v:shape id="文本框 4" o:spid="_x0000_s1026" o:spt="202" type="#_x0000_t202" style="position:absolute;left:0pt;margin-left:231.05pt;margin-top:-0.25pt;height:28.6pt;width:191.05pt;z-index:251660288;mso-width-relative:page;mso-height-relative:page;" filled="f" stroked="f" coordsize="21600,21600"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BVbmfjLAQAAfAMAAA4AAABkcnMvZTJvRG9jLnhtbK1TzY7T&#10;MBC+I/EOlu/U3WRbQVR3pVW1XBAgLTyA6ziNJdtj2W6T8gDwBpy4cOe5+hyM3WxZLZc97CUZz883&#10;831jr25Ga8hBhajBcXo1m1OinIRWux2nX7/cvXlLSUzCtcKAU5weVaQ369evVoNvVAU9mFYFgiAu&#10;NoPntE/JN4xF2Ssr4gy8chjsIFiR8Bh2rA1iQHRrWDWfL9kAofUBpIoRvZtzkE6I4TmA0HVaqg3I&#10;vVUunVGDMiIhpdhrH+m6TNt1SqZPXRdVIoZTZJrKF5ugvc1ftl6JZheE77WcRhDPGeEJJyu0w6YX&#10;qI1IguyD/g/KahkgQpdmEiw7EymKIIur+RNt7nvhVeGCUkd/ET2+HKz8ePgciG45rSlxwuLCTz9/&#10;nH79Of3+Tq6zPIOPDWbde8xL4y2MeGke/BGdmfXYBZv/yIdgHMU9XsRVYyISndV1tazrBSUSY/Wy&#10;rqqiPvtX7UNM7xVYkg1OAy6vaCoOH2LCSTD1ISU3c3CnjSkLNI4MnL5bVItScIlghXE5V5WrMMFk&#10;RufJs5XG7TjR3EJ7RJb4OLB9D+EbJcJJNDhNlOx90LseI4U+y7W4lDLWdIHy1h+f0X78aN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cpuHfWAAAACAEAAA8AAAAAAAAAAQAgAAAAIgAAAGRycy9k&#10;b3ducmV2LnhtbFBLAQIUABQAAAAIAIdO4kAVW5n4ywEAAHwDAAAOAAAAAAAAAAEAIAAAACUBAABk&#10;cnMvZTJvRG9jLnhtbFBLBQYAAAAABgAGAFkBAABiBQAAAAA=&#10;">
              <v:fill on="f" focussize="0,0"/>
              <v:stroke on="f"/>
              <v:imagedata o:title=""/>
              <o:lock v:ext="edit" aspectratio="f"/>
              <v:textbox>
                <w:txbxContent>
                  <w:p w14:paraId="1E14A3C3">
                    <w:pPr>
                      <w:jc w:val="right"/>
                      <w:rPr>
                        <w:sz w:val="28"/>
                        <w:szCs w:val="28"/>
                      </w:rPr>
                    </w:pPr>
                    <w:r>
                      <w:rPr>
                        <w:rFonts w:hint="eastAsia" w:ascii="Arial" w:hAnsi="Arial"/>
                        <w:b/>
                        <w:color w:val="003F9A"/>
                        <w:sz w:val="28"/>
                        <w:szCs w:val="28"/>
                      </w:rPr>
                      <w:t>Vessel Plus</w:t>
                    </w:r>
                  </w:p>
                </w:txbxContent>
              </v:textbox>
            </v:shape>
          </w:pict>
        </mc:Fallback>
      </mc:AlternateContent>
    </w:r>
    <w:bookmarkEnd w:id="10"/>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Vessel Plus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p>
  <w:p w14:paraId="73801CB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jI4NWE2ZTc0ZWM0ZTc0OTk1NmY4NTcwNTRiZmYifQ=="/>
  </w:docVars>
  <w:rsids>
    <w:rsidRoot w:val="00172A27"/>
    <w:rsid w:val="000178BA"/>
    <w:rsid w:val="00020D64"/>
    <w:rsid w:val="00030B75"/>
    <w:rsid w:val="0003284A"/>
    <w:rsid w:val="000D5EBD"/>
    <w:rsid w:val="001522FB"/>
    <w:rsid w:val="00172A27"/>
    <w:rsid w:val="00174144"/>
    <w:rsid w:val="00193C15"/>
    <w:rsid w:val="0019510B"/>
    <w:rsid w:val="0027022E"/>
    <w:rsid w:val="00273491"/>
    <w:rsid w:val="00331E76"/>
    <w:rsid w:val="003608FF"/>
    <w:rsid w:val="003B627D"/>
    <w:rsid w:val="003D2452"/>
    <w:rsid w:val="00423880"/>
    <w:rsid w:val="00497675"/>
    <w:rsid w:val="004D40A3"/>
    <w:rsid w:val="004F52CE"/>
    <w:rsid w:val="005570D9"/>
    <w:rsid w:val="005C20DB"/>
    <w:rsid w:val="00637595"/>
    <w:rsid w:val="00654B58"/>
    <w:rsid w:val="00754776"/>
    <w:rsid w:val="0077622A"/>
    <w:rsid w:val="007B4C3D"/>
    <w:rsid w:val="007D1FD5"/>
    <w:rsid w:val="008075EB"/>
    <w:rsid w:val="00842C21"/>
    <w:rsid w:val="008A495C"/>
    <w:rsid w:val="00921419"/>
    <w:rsid w:val="00A37A37"/>
    <w:rsid w:val="00B42AC5"/>
    <w:rsid w:val="00B74EF5"/>
    <w:rsid w:val="00BB3538"/>
    <w:rsid w:val="00C5076C"/>
    <w:rsid w:val="00C6365E"/>
    <w:rsid w:val="00CA2500"/>
    <w:rsid w:val="00D03AAC"/>
    <w:rsid w:val="00D16246"/>
    <w:rsid w:val="00D33E91"/>
    <w:rsid w:val="00D831D1"/>
    <w:rsid w:val="00DF1D9F"/>
    <w:rsid w:val="00DF5C43"/>
    <w:rsid w:val="00E16161"/>
    <w:rsid w:val="00E31605"/>
    <w:rsid w:val="00EA21CF"/>
    <w:rsid w:val="00ED3A7F"/>
    <w:rsid w:val="00EE1B5A"/>
    <w:rsid w:val="00EE548B"/>
    <w:rsid w:val="00EF13FD"/>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A2360"/>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A55E09"/>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030A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EF62155"/>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0A7000"/>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6FD2383"/>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71EC6"/>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70DC2"/>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414D4"/>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E806A3"/>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274F"/>
    <w:rsid w:val="5A966B9E"/>
    <w:rsid w:val="5AA968E1"/>
    <w:rsid w:val="5AAD0CE7"/>
    <w:rsid w:val="5ABB7A77"/>
    <w:rsid w:val="5AC032E0"/>
    <w:rsid w:val="5AC54A62"/>
    <w:rsid w:val="5ACD1B71"/>
    <w:rsid w:val="5AD039F1"/>
    <w:rsid w:val="5AD13E67"/>
    <w:rsid w:val="5AD22D42"/>
    <w:rsid w:val="5ADA21C7"/>
    <w:rsid w:val="5AE23BCB"/>
    <w:rsid w:val="5AE65D89"/>
    <w:rsid w:val="5AE762BC"/>
    <w:rsid w:val="5AED29C0"/>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7D408C"/>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CE7C29"/>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80BD8"/>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2261</Words>
  <Characters>13243</Characters>
  <Lines>105</Lines>
  <Paragraphs>29</Paragraphs>
  <TotalTime>0</TotalTime>
  <ScaleCrop>false</ScaleCrop>
  <LinksUpToDate>false</LinksUpToDate>
  <CharactersWithSpaces>15355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陈蒙</cp:lastModifiedBy>
  <dcterms:modified xsi:type="dcterms:W3CDTF">2026-02-03T03:24:50Z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37366B6A98DC4801A94E53B59621612D_13</vt:lpwstr>
  </property>
  <property fmtid="{D5CDD505-2E9C-101B-9397-08002B2CF9AE}" pid="4" name="KSOTemplateDocerSaveRecord">
    <vt:lpwstr>eyJoZGlkIjoiNTZhNjQ3ZjA2NWUwMTk1OTE0MWJlZjNhNjM5MzZjY2EiLCJ1c2VySWQiOiIzNDEzNzgxNTEifQ==</vt:lpwstr>
  </property>
</Properties>
</file>