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"https://oaepublish.com/files/tpl/syntheticcells/Template_for_Supplementary_Material_syntheticcells.docx"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bookmarkStart w:id="13" w:name="_GoBack"/>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sz w:val="24"/>
          <w:lang w:val="en-US" w:eastAsia="zh-CN"/>
        </w:rPr>
        <w:t>S</w:t>
      </w:r>
      <w:r>
        <w:rPr>
          <w:rFonts w:hint="eastAsia" w:ascii="Times New Roman" w:hAnsi="Times New Roman" w:cs="Times New Roman"/>
          <w:i/>
          <w:iCs/>
          <w:sz w:val="24"/>
          <w:lang w:val="en-US" w:eastAsia="zh-CN"/>
        </w:rPr>
        <w:t>ynthetic Cells</w:t>
      </w:r>
      <w:bookmarkEnd w:id="13"/>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69CAD723">
    <w:pPr>
      <w:pStyle w:val="6"/>
      <w:jc w:val="right"/>
    </w:pP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5"/>
        <w:b/>
        <w:bCs/>
        <w:sz w:val="16"/>
        <w:szCs w:val="16"/>
      </w:rPr>
      <w:t>https://www.oaepublish.com/</w:t>
    </w:r>
    <w:r>
      <w:rPr>
        <w:rStyle w:val="15"/>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0288;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910A64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C6F9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B15A9F"/>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1C0C5E"/>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9F42C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76520"/>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B3778"/>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44AE2"/>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2191</Words>
  <Characters>12907</Characters>
  <Lines>112</Lines>
  <Paragraphs>31</Paragraphs>
  <TotalTime>0</TotalTime>
  <ScaleCrop>false</ScaleCrop>
  <LinksUpToDate>false</LinksUpToDate>
  <CharactersWithSpaces>14938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2025-12-03T10:36:39Z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eyJoZGlkIjoiMzE3ODU4M2FjODMwOTAyNWIxMDVhYzJmNWViNWM1ZjQiLCJ1c2VySWQiOiIxMzgyNzgzMjUyIn0=</vt:lpwstr>
  </property>
</Properties>
</file>