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pPr>
        <w:adjustRightInd w:val="0"/>
        <w:snapToGrid w:val="0"/>
        <w:spacing w:line="360" w:lineRule="auto"/>
        <w:jc w:val="left"/>
        <w:rPr>
          <w:rFonts w:ascii="Times New Roman" w:hAnsi="Times New Roman" w:cs="Times New Roman"/>
          <w:b/>
          <w:bCs/>
          <w:sz w:val="18"/>
          <w:szCs w:val="18"/>
        </w:rPr>
      </w:pPr>
    </w:p>
    <w:p>
      <w:pPr>
        <w:adjustRightInd w:val="0"/>
        <w:snapToGrid w:val="0"/>
        <w:spacing w:line="360" w:lineRule="auto"/>
        <w:jc w:val="left"/>
        <w:rPr>
          <w:rFonts w:ascii="Times New Roman" w:hAnsi="Times New Roman" w:cs="Times New Roman"/>
          <w:color w:val="7F7F7F" w:themeColor="background1" w:themeShade="80"/>
          <w:sz w:val="18"/>
          <w:szCs w:val="18"/>
        </w:rPr>
      </w:pPr>
      <w:bookmarkStart w:id="1"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b/>
          <w:bCs/>
          <w:i/>
          <w:iCs/>
          <w:color w:val="7F7F7F" w:themeColor="background1" w:themeShade="80"/>
          <w:szCs w:val="21"/>
        </w:rPr>
      </w:pPr>
    </w:p>
    <w:bookmarkEnd w:id="1"/>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Cs w:val="21"/>
        </w:rPr>
      </w:pPr>
      <w:r>
        <w:rPr>
          <w:rFonts w:ascii="Times New Roman" w:hAnsi="Times New Roman" w:cs="Times New Roman"/>
          <w:iCs/>
          <w:color w:val="7F7F7F" w:themeColor="background1" w:themeShade="80"/>
          <w:szCs w:val="21"/>
        </w:rPr>
        <w:t>[</w:t>
      </w:r>
      <w:r>
        <w:rPr>
          <w:rFonts w:ascii="Times New Roman" w:hAnsi="Times New Roman" w:cs="Times New Roman"/>
          <w:color w:val="7F7F7F" w:themeColor="background1" w:themeShade="80"/>
          <w:szCs w:val="21"/>
        </w:rPr>
        <w:t>e.g.,</w:t>
      </w:r>
      <w:r>
        <w:rPr>
          <w:rFonts w:ascii="Times New Roman" w:hAnsi="Times New Roman" w:cs="Times New Roman"/>
          <w:i/>
          <w:iCs/>
          <w:color w:val="7F7F7F" w:themeColor="background1" w:themeShade="80"/>
          <w:szCs w:val="21"/>
        </w:rPr>
        <w:t xml:space="preserve"> </w:t>
      </w:r>
      <w:r>
        <w:rPr>
          <w:rFonts w:ascii="Times New Roman" w:hAnsi="Times New Roman" w:eastAsia="宋体" w:cs="Times New Roman"/>
          <w:iCs/>
          <w:color w:val="7F7F7F" w:themeColor="background1" w:themeShade="80"/>
          <w:kern w:val="0"/>
          <w:szCs w:val="21"/>
        </w:rPr>
        <w:t>1 Jan 2021</w:t>
      </w:r>
      <w:r>
        <w:rPr>
          <w:rFonts w:ascii="Times New Roman" w:hAnsi="Times New Roman" w:eastAsia="宋体" w:cs="Times New Roman"/>
          <w:color w:val="7F7F7F" w:themeColor="background1" w:themeShade="80"/>
          <w:kern w:val="0"/>
          <w:szCs w:val="21"/>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p>
    <w:p>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spacing w:line="360" w:lineRule="auto"/>
        <w:ind w:firstLine="0"/>
        <w:jc w:val="left"/>
        <w:rPr>
          <w:rFonts w:ascii="Times New Roman" w:hAnsi="Times New Roman"/>
          <w:b/>
          <w:bCs/>
          <w:iCs/>
          <w:color w:val="7F7F7F" w:themeColor="background1" w:themeShade="80"/>
          <w:sz w:val="18"/>
          <w:szCs w:val="18"/>
        </w:rPr>
      </w:pPr>
      <w:r>
        <w:rPr>
          <w:rFonts w:ascii="Times New Roman" w:hAnsi="Times New Roman"/>
          <w:b/>
          <w:bCs/>
          <w:i/>
          <w:color w:val="7F7F7F" w:themeColor="background1" w:themeShade="80"/>
          <w:sz w:val="18"/>
          <w:szCs w:val="18"/>
          <w:lang w:eastAsia="zh-CN"/>
        </w:rPr>
        <w:t>This template shows the manuscript structure that can be used in a research highlight: A</w:t>
      </w:r>
      <w:r>
        <w:rPr>
          <w:rFonts w:hint="eastAsia" w:ascii="Times New Roman" w:hAnsi="Times New Roman"/>
          <w:b/>
          <w:bCs/>
          <w:i/>
          <w:color w:val="7F7F7F" w:themeColor="background1" w:themeShade="80"/>
          <w:sz w:val="18"/>
          <w:szCs w:val="18"/>
          <w:lang w:eastAsia="zh-CN"/>
        </w:rPr>
        <w:t>bstract</w:t>
      </w:r>
      <w:r>
        <w:rPr>
          <w:rFonts w:hint="eastAsia" w:ascii="宋体" w:hAnsi="宋体" w:eastAsia="宋体" w:cs="宋体"/>
          <w:b/>
          <w:bCs/>
          <w:i/>
          <w:color w:val="7F7F7F" w:themeColor="background1" w:themeShade="80"/>
          <w:sz w:val="18"/>
          <w:szCs w:val="18"/>
          <w:lang w:eastAsia="zh-CN"/>
        </w:rPr>
        <w:t>，</w:t>
      </w:r>
      <w:r>
        <w:rPr>
          <w:rFonts w:ascii="Times New Roman" w:hAnsi="Times New Roman"/>
          <w:b/>
          <w:bCs/>
          <w:i/>
          <w:color w:val="7F7F7F" w:themeColor="background1" w:themeShade="80"/>
          <w:sz w:val="18"/>
          <w:szCs w:val="18"/>
          <w:lang w:eastAsia="zh-CN"/>
        </w:rPr>
        <w:t xml:space="preserve">Keywords, Main Text, Declarations and References. Please note that each part has a corresponding style, which authors should follow. </w:t>
      </w:r>
      <w:r>
        <w:rPr>
          <w:rFonts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 xml:space="preserve">ote that the fonts in gray show writing requirements. For any questions, you may contact the </w:t>
      </w:r>
      <w:r>
        <w:fldChar w:fldCharType="begin"/>
      </w:r>
      <w:r>
        <w:instrText xml:space="preserve"> HYPERLINK "mailto:editorialoffice@softscijournal.com" </w:instrText>
      </w:r>
      <w:r>
        <w:fldChar w:fldCharType="separate"/>
      </w:r>
      <w:r>
        <w:rPr>
          <w:rStyle w:val="15"/>
          <w:rFonts w:ascii="Times New Roman" w:hAnsi="Times New Roman"/>
          <w:b/>
          <w:bCs/>
          <w:i/>
          <w:color w:val="7F7F7F" w:themeColor="background1" w:themeShade="80"/>
          <w:sz w:val="18"/>
          <w:szCs w:val="18"/>
        </w:rPr>
        <w:t>editorial office</w:t>
      </w:r>
      <w:r>
        <w:rPr>
          <w:rStyle w:val="15"/>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pStyle w:val="26"/>
        <w:spacing w:line="360" w:lineRule="auto"/>
        <w:ind w:firstLine="0"/>
        <w:jc w:val="left"/>
        <w:rPr>
          <w:rFonts w:ascii="Times New Roman" w:hAnsi="Times New Roman"/>
          <w:b/>
          <w:bCs/>
          <w:iCs/>
          <w:color w:val="7F7F7F" w:themeColor="background1" w:themeShade="80"/>
          <w:sz w:val="18"/>
          <w:szCs w:val="18"/>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360" w:lineRule="auto"/>
        <w:jc w:val="lef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150 words. No citations. Define abbreviations at their first mention.</w:t>
      </w:r>
      <w:r>
        <w:rPr>
          <w:rFonts w:ascii="Times New Roman" w:hAnsi="Times New Roman" w:cs="Times New Roman"/>
          <w:color w:val="7F7F7F" w:themeColor="background1" w:themeShade="80"/>
          <w:sz w:val="18"/>
          <w:szCs w:val="18"/>
        </w:rPr>
        <w:t>]</w:t>
      </w:r>
    </w:p>
    <w:p>
      <w:pPr>
        <w:pStyle w:val="26"/>
        <w:spacing w:line="360" w:lineRule="auto"/>
        <w:ind w:firstLine="0"/>
        <w:jc w:val="left"/>
        <w:rPr>
          <w:rFonts w:ascii="Times New Roman" w:hAnsi="Times New Roman" w:eastAsia="宋体"/>
          <w:iCs/>
          <w:color w:val="auto"/>
          <w:sz w:val="24"/>
          <w:szCs w:val="24"/>
          <w:lang w:eastAsia="zh-CN"/>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pPr>
        <w:pStyle w:val="26"/>
        <w:spacing w:line="360" w:lineRule="auto"/>
        <w:ind w:firstLine="0"/>
        <w:jc w:val="left"/>
        <w:rPr>
          <w:rFonts w:ascii="Times New Roman" w:hAnsi="Times New Roman"/>
          <w:b/>
          <w:bCs/>
          <w:i/>
          <w:color w:val="7F7F7F" w:themeColor="background1" w:themeShade="80"/>
          <w:sz w:val="24"/>
          <w:szCs w:val="24"/>
        </w:rPr>
      </w:pPr>
    </w:p>
    <w:p>
      <w:pPr>
        <w:pStyle w:val="26"/>
        <w:spacing w:line="360" w:lineRule="auto"/>
        <w:ind w:firstLine="0"/>
        <w:jc w:val="left"/>
        <w:rPr>
          <w:rFonts w:ascii="Times New Roman" w:hAnsi="Times New Roman"/>
          <w:b/>
          <w:bCs/>
          <w:iCs/>
          <w:color w:val="7F7F7F" w:themeColor="background1" w:themeShade="80"/>
          <w:sz w:val="18"/>
          <w:szCs w:val="18"/>
        </w:rPr>
      </w:pPr>
      <w:r>
        <w:rPr>
          <w:rFonts w:ascii="Times New Roman" w:hAnsi="Times New Roman"/>
          <w:b/>
          <w:bCs/>
          <w:iCs/>
          <w:color w:val="190F13"/>
          <w:sz w:val="24"/>
        </w:rPr>
        <w:t>Keywords:</w:t>
      </w:r>
      <w:r>
        <w:rPr>
          <w:rFonts w:ascii="Times New Roman" w:hAnsi="Times New Roman"/>
          <w:sz w:val="24"/>
        </w:rPr>
        <w:t xml:space="preserve"> </w:t>
      </w:r>
      <w:r>
        <w:rPr>
          <w:rFonts w:ascii="Times New Roman" w:hAnsi="Times New Roman" w:eastAsia="宋体"/>
          <w:iCs/>
          <w:sz w:val="24"/>
        </w:rPr>
        <w:t>Dielectric elastomer actuators, pure-shear configuration, nonlinear dynamics, isolated response curve, soft oscillator</w:t>
      </w:r>
    </w:p>
    <w:p>
      <w:pPr>
        <w:adjustRightInd w:val="0"/>
        <w:snapToGrid w:val="0"/>
        <w:spacing w:line="360" w:lineRule="auto"/>
        <w:jc w:val="left"/>
        <w:rPr>
          <w:rFonts w:ascii="Times New Roman" w:hAnsi="Times New Roman" w:cs="Times New Roman"/>
          <w:b/>
          <w:bCs/>
          <w:iCs/>
          <w:color w:val="7F7F7F" w:themeColor="background1" w:themeShade="80"/>
          <w:sz w:val="18"/>
          <w:szCs w:val="18"/>
        </w:rPr>
      </w:pPr>
      <w:bookmarkStart w:id="2" w:name="_Hlk59623780"/>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18"/>
          <w:szCs w:val="18"/>
        </w:rPr>
        <w:t>]</w:t>
      </w:r>
    </w:p>
    <w:p>
      <w:pPr>
        <w:adjustRightInd w:val="0"/>
        <w:snapToGrid w:val="0"/>
        <w:spacing w:line="360" w:lineRule="auto"/>
        <w:jc w:val="left"/>
        <w:rPr>
          <w:rFonts w:ascii="Times New Roman" w:hAnsi="Times New Roman" w:eastAsia="Times New Roman" w:cs="Times New Roman"/>
          <w:i/>
          <w:color w:val="190F13"/>
          <w:szCs w:val="21"/>
        </w:rPr>
      </w:pPr>
    </w:p>
    <w:bookmarkEnd w:id="2"/>
    <w:p>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pPr>
        <w:widowControl/>
        <w:adjustRightInd w:val="0"/>
        <w:snapToGrid w:val="0"/>
        <w:spacing w:line="360" w:lineRule="auto"/>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adjustRightInd w:val="0"/>
        <w:snapToGrid w:val="0"/>
        <w:spacing w:line="360" w:lineRule="auto"/>
        <w:jc w:val="left"/>
        <w:rPr>
          <w:rFonts w:ascii="Times New Roman" w:hAnsi="Times New Roman" w:cs="Times New Roman"/>
          <w:b/>
          <w:bCs/>
          <w:i/>
          <w:iCs/>
          <w:color w:val="7F7F7F" w:themeColor="background1" w:themeShade="80"/>
          <w:szCs w:val="21"/>
        </w:rPr>
      </w:pPr>
    </w:p>
    <w:p>
      <w:pPr>
        <w:widowControl/>
        <w:adjustRightInd w:val="0"/>
        <w:snapToGrid w:val="0"/>
        <w:spacing w:line="360" w:lineRule="auto"/>
        <w:jc w:val="left"/>
        <w:rPr>
          <w:rFonts w:ascii="Times New Roman" w:hAnsi="Times New Roman" w:eastAsia="宋体" w:cs="Times New Roman"/>
          <w:color w:val="000000"/>
          <w:kern w:val="0"/>
          <w:sz w:val="24"/>
        </w:rPr>
      </w:pPr>
      <w:bookmarkStart w:id="3" w:name="_Hlk99802499"/>
      <w:bookmarkStart w:id="4" w:name="_Hlk99802985"/>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de-DE"/>
              </w:rPr>
            </w:pPr>
            <w:r>
              <w:rPr>
                <w:rFonts w:ascii="Times New Roman" w:hAnsi="Times New Roman" w:eastAsia="宋体" w:cs="Times New Roman"/>
                <w:b/>
                <w:i w:val="0"/>
                <w:snapToGrid w:val="0"/>
                <w:sz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2-year (3-year) OS (%)</w:t>
            </w:r>
          </w:p>
        </w:tc>
      </w:tr>
      <w:tr>
        <w:trPr>
          <w:trHeight w:val="611"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3"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8"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5"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50"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30"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41"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rPr>
          <w:trHeight w:val="301"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8"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40</w:t>
            </w:r>
          </w:p>
        </w:tc>
        <w:tc>
          <w:tcPr>
            <w:tcW w:w="905"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19-75</w:t>
            </w:r>
          </w:p>
        </w:tc>
        <w:tc>
          <w:tcPr>
            <w:tcW w:w="95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67</w:t>
            </w:r>
          </w:p>
        </w:tc>
        <w:tc>
          <w:tcPr>
            <w:tcW w:w="183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54 (54)</w:t>
            </w:r>
          </w:p>
        </w:tc>
        <w:tc>
          <w:tcPr>
            <w:tcW w:w="1441"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82 (71)</w:t>
            </w:r>
          </w:p>
        </w:tc>
      </w:tr>
      <w:tr>
        <w:trPr>
          <w:trHeight w:val="629"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8"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5"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5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3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41"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widowControl/>
        <w:adjustRightInd w:val="0"/>
        <w:snapToGrid w:val="0"/>
        <w:spacing w:line="360" w:lineRule="auto"/>
        <w:jc w:val="left"/>
        <w:rPr>
          <w:rFonts w:ascii="Times New Roman" w:hAnsi="Times New Roman" w:eastAsia="宋体" w:cs="Times New Roman"/>
          <w:bCs/>
          <w:color w:val="000000"/>
          <w:kern w:val="0"/>
          <w:sz w:val="24"/>
        </w:rPr>
      </w:pP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numPr>
          <w:ilvl w:val="0"/>
          <w:numId w:val="3"/>
        </w:numPr>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after="312" w:afterLines="100" w:line="360" w:lineRule="auto"/>
        <w:jc w:val="left"/>
        <w:rPr>
          <w:rFonts w:ascii="Times New Roman" w:hAnsi="Times New Roman" w:cs="Times New Roman"/>
          <w:b/>
          <w:bCs/>
          <w:color w:val="7F7F7F" w:themeColor="background1" w:themeShade="80"/>
          <w:sz w:val="18"/>
          <w:szCs w:val="18"/>
        </w:rPr>
      </w:pPr>
      <w:r>
        <w:drawing>
          <wp:inline distT="0" distB="0" distL="0" distR="0">
            <wp:extent cx="5364480" cy="2550795"/>
            <wp:effectExtent l="0" t="0" r="762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64480" cy="2550795"/>
                    </a:xfrm>
                    <a:prstGeom prst="rect">
                      <a:avLst/>
                    </a:prstGeom>
                    <a:noFill/>
                    <a:ln>
                      <a:noFill/>
                    </a:ln>
                  </pic:spPr>
                </pic:pic>
              </a:graphicData>
            </a:graphic>
          </wp:inline>
        </w:drawing>
      </w:r>
    </w:p>
    <w:p>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t>
      </w:r>
      <w:r>
        <w:rPr>
          <w:rFonts w:ascii="Times New Roman" w:hAnsi="Times New Roman" w:cs="Times New Roman"/>
          <w:sz w:val="24"/>
        </w:rPr>
        <w:t xml:space="preserve">(A) Schematic diagram of the antagonistic pure-shear DEA and its actuation principle. (B) Demonstration of loss-of-tension in the membrane induced by large deformation (λ &lt; 1). </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bookmarkEnd w:id="3"/>
    </w:p>
    <w:bookmarkEnd w:id="4"/>
    <w:p>
      <w:pPr>
        <w:widowControl/>
        <w:shd w:val="clear" w:color="auto" w:fill="FFFFFF"/>
        <w:adjustRightInd w:val="0"/>
        <w:snapToGrid w:val="0"/>
        <w:spacing w:line="360" w:lineRule="auto"/>
        <w:jc w:val="left"/>
        <w:rPr>
          <w:rFonts w:ascii="Times New Roman" w:hAnsi="Times New Roman" w:cs="Times New Roman"/>
          <w:b/>
          <w:bCs/>
          <w:i/>
          <w:iCs/>
          <w:color w:val="7F7F7F" w:themeColor="background1" w:themeShade="80"/>
          <w:sz w:val="18"/>
          <w:szCs w:val="18"/>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line="360" w:lineRule="auto"/>
        <w:jc w:val="left"/>
        <w:rPr>
          <w:rFonts w:ascii="Times New Roman" w:hAnsi="Times New Roman" w:eastAsia="宋体" w:cs="Times New Roman"/>
          <w:b/>
          <w:bCs/>
          <w:iCs/>
          <w:color w:val="000000"/>
          <w:kern w:val="0"/>
          <w:sz w:val="24"/>
        </w:rPr>
      </w:pPr>
      <w:bookmarkStart w:id="5" w:name="_Hlk59623951"/>
      <w:r>
        <w:rPr>
          <w:rFonts w:ascii="Times New Roman" w:hAnsi="Times New Roman" w:eastAsia="宋体" w:cs="Times New Roman"/>
          <w:b/>
          <w:bCs/>
          <w:iCs/>
          <w:color w:val="000000"/>
          <w:kern w:val="0"/>
          <w:sz w:val="24"/>
        </w:rPr>
        <w:t>Acknowledgments</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pPr>
        <w:widowControl/>
        <w:adjustRightInd w:val="0"/>
        <w:snapToGrid w:val="0"/>
        <w:spacing w:line="360" w:lineRule="auto"/>
        <w:jc w:val="left"/>
        <w:rPr>
          <w:rFonts w:ascii="Times New Roman" w:hAnsi="Times New Roman" w:cs="Times New Roman"/>
          <w:iCs/>
          <w:sz w:val="24"/>
        </w:rPr>
      </w:pPr>
      <w:bookmarkStart w:id="6" w:name="_Hlk63414153"/>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kern w:val="0"/>
          <w:sz w:val="24"/>
        </w:rPr>
      </w:pPr>
    </w:p>
    <w:bookmarkEnd w:id="6"/>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hint="default" w:ascii="Times New Roman" w:hAnsi="Times New Roman" w:eastAsia="宋体" w:cs="Times New Roman"/>
          <w:b/>
          <w:bCs/>
          <w:iCs/>
          <w:color w:val="000000"/>
          <w:kern w:val="0"/>
          <w:sz w:val="24"/>
        </w:rPr>
      </w:pPr>
      <w:r>
        <w:rPr>
          <w:rFonts w:hint="default" w:ascii="Times New Roman" w:hAnsi="Times New Roman" w:eastAsia="宋体" w:cs="Times New Roman"/>
          <w:b/>
          <w:bCs/>
          <w:iCs/>
          <w:color w:val="000000"/>
          <w:kern w:val="0"/>
          <w:sz w:val="24"/>
        </w:rPr>
        <w:t>AI and AI-assisted tools Statement</w:t>
      </w:r>
    </w:p>
    <w:p>
      <w:pPr>
        <w:widowControl/>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hint="default" w:ascii="Times New Roman" w:hAnsi="Times New Roman" w:cs="Times New Roman"/>
          <w:sz w:val="24"/>
        </w:rPr>
        <w:t>If the manuscript does not involve this issue, state “Not applicable.” in this section.</w:t>
      </w:r>
      <w:r>
        <w:rPr>
          <w:rFonts w:ascii="Times New Roman" w:hAnsi="Times New Roman" w:eastAsia="宋体" w:cs="Times New Roman"/>
          <w:b/>
          <w:bCs/>
          <w:iCs/>
          <w:color w:val="000000"/>
          <w:kern w:val="0"/>
          <w:sz w:val="24"/>
        </w:rPr>
        <w:t xml:space="preserve"> </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9" w:name="OLE_LINK12"/>
      <w:bookmarkStart w:id="10" w:name="OLE_LINK13"/>
      <w:r>
        <w:rPr>
          <w:rFonts w:ascii="Times New Roman" w:hAnsi="Times New Roman" w:cs="Times New Roman"/>
          <w:sz w:val="24"/>
        </w:rPr>
        <w:t>“</w:t>
      </w:r>
      <w:bookmarkEnd w:id="9"/>
      <w:bookmarkEnd w:id="10"/>
      <w:r>
        <w:rPr>
          <w:rFonts w:ascii="Times New Roman" w:hAnsi="Times New Roman" w:cs="Times New Roman"/>
          <w:sz w:val="24"/>
        </w:rPr>
        <w:t xml:space="preserve">Conflicts of Interest” in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ascii="Times New Roman" w:hAnsi="Times New Roman" w:cs="Times New Roman"/>
          <w:i/>
          <w:iCs/>
          <w:sz w:val="24"/>
        </w:rPr>
        <w:t>Soft Science</w:t>
      </w:r>
      <w:r>
        <w:rPr>
          <w:rFonts w:ascii="Times New Roman" w:hAnsi="Times New Roman" w:cs="Times New Roman"/>
          <w:sz w:val="24"/>
        </w:rPr>
        <w:t xml:space="preserve"> for a full explanation.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6"/>
      <w:bookmarkStart w:id="12" w:name="OLE_LINK17"/>
      <w:r>
        <w:rPr>
          <w:rFonts w:ascii="Times New Roman" w:hAnsi="Times New Roman" w:cs="Times New Roman"/>
          <w:sz w:val="24"/>
        </w:rPr>
        <w:t>“</w:t>
      </w:r>
      <w:bookmarkEnd w:id="11"/>
      <w:bookmarkEnd w:id="12"/>
      <w:r>
        <w:rPr>
          <w:rFonts w:ascii="Times New Roman" w:hAnsi="Times New Roman" w:cs="Times New Roman"/>
          <w:sz w:val="24"/>
        </w:rPr>
        <w:t>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spacing w:line="360" w:lineRule="auto"/>
        <w:jc w:val="left"/>
        <w:rPr>
          <w:rFonts w:ascii="Times New Roman" w:hAnsi="Times New Roman" w:cs="Times New Roman"/>
          <w:sz w:val="24"/>
        </w:rPr>
      </w:pPr>
      <w:bookmarkStart w:id="13"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pPr>
        <w:adjustRightInd w:val="0"/>
        <w:snapToGrid w:val="0"/>
        <w:spacing w:line="360" w:lineRule="auto"/>
        <w:jc w:val="left"/>
        <w:rPr>
          <w:rFonts w:ascii="Times New Roman" w:hAnsi="Times New Roman" w:cs="Times New Roman"/>
          <w:sz w:val="24"/>
        </w:rPr>
      </w:pPr>
    </w:p>
    <w:bookmarkEnd w:id="13"/>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default" w:ascii="Times New Roman" w:hAnsi="Times New Roman" w:eastAsia="宋体" w:cs="Times New Roman"/>
          <w:color w:val="000000"/>
          <w:kern w:val="0"/>
          <w:sz w:val="24"/>
        </w:rPr>
        <w:t>6</w:t>
      </w:r>
      <w:bookmarkStart w:id="16" w:name="_GoBack"/>
      <w:bookmarkEnd w:id="16"/>
      <w:r>
        <w:rPr>
          <w:rFonts w:ascii="Times New Roman" w:hAnsi="Times New Roman" w:eastAsia="宋体" w:cs="Times New Roman"/>
          <w:color w:val="000000"/>
          <w:kern w:val="0"/>
          <w:sz w:val="24"/>
        </w:rPr>
        <w:t>.</w:t>
      </w:r>
    </w:p>
    <w:p>
      <w:pPr>
        <w:widowControl/>
        <w:adjustRightInd w:val="0"/>
        <w:snapToGrid w:val="0"/>
        <w:spacing w:line="360" w:lineRule="auto"/>
        <w:jc w:val="left"/>
        <w:rPr>
          <w:rFonts w:ascii="Times New Roman" w:hAnsi="Times New Roman" w:eastAsia="宋体" w:cs="Times New Roman"/>
          <w:color w:val="000000"/>
          <w:kern w:val="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5"/>
    <w:p>
      <w:pPr>
        <w:adjustRightInd w:val="0"/>
        <w:snapToGrid w:val="0"/>
        <w:spacing w:line="360" w:lineRule="auto"/>
        <w:jc w:val="left"/>
        <w:rPr>
          <w:rFonts w:ascii="Times New Roman" w:hAnsi="Times New Roman" w:cs="Times New Roman"/>
          <w:sz w:val="24"/>
        </w:rPr>
      </w:pPr>
      <w:bookmarkStart w:id="14"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pPr>
        <w:numPr>
          <w:ilvl w:val="0"/>
          <w:numId w:val="3"/>
        </w:numPr>
        <w:adjustRightInd w:val="0"/>
        <w:snapToGrid w:val="0"/>
        <w:spacing w:line="360" w:lineRule="auto"/>
        <w:ind w:left="0" w:firstLine="0"/>
        <w:jc w:val="left"/>
        <w:rPr>
          <w:rFonts w:ascii="Times New Roman" w:hAnsi="Times New Roman" w:cs="Times New Roman"/>
          <w:b/>
          <w:bCs/>
          <w:i/>
          <w:iCs/>
          <w:color w:val="808080"/>
          <w:szCs w:val="21"/>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Cs w:val="21"/>
        </w:rPr>
        <w:t>.</w:t>
      </w:r>
    </w:p>
    <w:bookmarkEnd w:id="14"/>
    <w:p>
      <w:pPr>
        <w:numPr>
          <w:ilvl w:val="0"/>
          <w:numId w:val="0"/>
        </w:numPr>
        <w:adjustRightInd w:val="0"/>
        <w:snapToGrid w:val="0"/>
        <w:spacing w:line="360" w:lineRule="auto"/>
        <w:ind w:leftChars="0"/>
        <w:jc w:val="left"/>
        <w:rPr>
          <w:rFonts w:ascii="Times New Roman" w:hAnsi="Times New Roman" w:cs="Times New Roman"/>
          <w:b/>
          <w:bCs/>
          <w:i/>
          <w:iCs/>
          <w:color w:val="808080"/>
          <w:szCs w:val="21"/>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pPr>
        <w:jc w:val="left"/>
        <w:rPr>
          <w:rFonts w:ascii="Times New Roman" w:hAnsi="Times New Roman" w:cs="Times New Roman"/>
          <w:b/>
          <w:bCs/>
          <w:szCs w:val="21"/>
        </w:rPr>
      </w:pPr>
      <w:r>
        <w:rPr>
          <w:rFonts w:ascii="Times New Roman" w:hAnsi="Times New Roman" w:cs="Times New Roman"/>
          <w:b/>
          <w:bCs/>
          <w:szCs w:val="21"/>
        </w:rPr>
        <w:t>Journal articles by individual authors</w:t>
      </w:r>
    </w:p>
    <w:p>
      <w:pPr>
        <w:jc w:val="left"/>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Organization as author</w:t>
      </w:r>
    </w:p>
    <w:p>
      <w:pPr>
        <w:jc w:val="left"/>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Both personal authors and organization as author</w:t>
      </w:r>
    </w:p>
    <w:p>
      <w:pPr>
        <w:jc w:val="left"/>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not in English</w:t>
      </w:r>
    </w:p>
    <w:p>
      <w:pPr>
        <w:jc w:val="left"/>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ahead of print</w:t>
      </w:r>
    </w:p>
    <w:p>
      <w:pPr>
        <w:jc w:val="left"/>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pPr>
        <w:jc w:val="left"/>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pPr>
        <w:widowControl/>
        <w:adjustRightInd w:val="0"/>
        <w:snapToGrid w:val="0"/>
        <w:spacing w:line="360" w:lineRule="auto"/>
        <w:jc w:val="left"/>
        <w:rPr>
          <w:rFonts w:ascii="Times New Roman" w:hAnsi="Times New Roman" w:cs="Times New Roman"/>
          <w:b/>
          <w:bCs/>
          <w:i/>
          <w:iCs/>
          <w:color w:val="808080"/>
          <w:sz w:val="18"/>
          <w:szCs w:val="18"/>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1" w:usb3="00000000" w:csb0="0000019F" w:csb1="00000000"/>
  </w:font>
  <w:font w:name="Helvetica">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496" w:themeColor="accent5" w:themeShade="BF"/>
      </w:rPr>
    </w:pPr>
    <w:r>
      <w:rPr>
        <w:rFonts w:hint="eastAsia"/>
        <w:b/>
        <w:bCs/>
        <w:sz w:val="16"/>
        <w:szCs w:val="16"/>
      </w:rPr>
      <w:drawing>
        <wp:inline distT="0" distB="0" distL="114300" distR="114300">
          <wp:extent cx="797560" cy="306070"/>
          <wp:effectExtent l="0" t="0" r="2540" b="17780"/>
          <wp:docPr id="2" name="图片 2" descr="微信图片_20210810102657tou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10102657touming"/>
                  <pic:cNvPicPr>
                    <a:picLocks noChangeAspect="1"/>
                  </pic:cNvPicPr>
                </pic:nvPicPr>
                <pic:blipFill>
                  <a:blip r:embed="rId2"/>
                  <a:stretch>
                    <a:fillRect/>
                  </a:stretch>
                </pic:blipFill>
                <pic:spPr>
                  <a:xfrm>
                    <a:off x="0" y="0"/>
                    <a:ext cx="797560" cy="306070"/>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"http://www.softscijournal.com" </w:instrText>
    </w:r>
    <w:r>
      <w:fldChar w:fldCharType="separate"/>
    </w:r>
    <w:r>
      <w:rPr>
        <w:rStyle w:val="15"/>
        <w:rFonts w:ascii="Arial" w:hAnsi="Arial"/>
        <w:b/>
        <w:bCs/>
        <w:sz w:val="16"/>
        <w:szCs w:val="16"/>
      </w:rPr>
      <w:t>www.softscijournal.</w:t>
    </w:r>
    <w:r>
      <w:rPr>
        <w:rStyle w:val="15"/>
        <w:rFonts w:hint="eastAsia" w:ascii="Arial" w:hAnsi="Arial"/>
        <w:b/>
        <w:bCs/>
        <w:sz w:val="16"/>
        <w:szCs w:val="16"/>
      </w:rPr>
      <w:t>com</w:t>
    </w:r>
    <w:r>
      <w:rPr>
        <w:rStyle w:val="15"/>
        <w:rFonts w:hint="eastAsia" w:ascii="Arial" w:hAnsi="Arial"/>
        <w:b/>
        <w:bCs/>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6"/>
        <w:szCs w:val="16"/>
      </w:rPr>
      <w:t>Soft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default" w:ascii="Times New Roman" w:hAnsi="Times New Roman" w:cs="Times New Roman"/>
        <w:sz w:val="14"/>
        <w:szCs w:val="14"/>
      </w:rPr>
      <w:t>x</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6"/>
        <w:szCs w:val="16"/>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default" w:ascii="Times New Roman" w:hAnsi="Times New Roman" w:cs="Times New Roman"/>
        <w:sz w:val="14"/>
        <w:szCs w:val="14"/>
      </w:rPr>
      <w:t>x</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-35560</wp:posOffset>
              </wp:positionV>
              <wp:extent cx="2426335" cy="48133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pPr>
                            <w:wordWrap w:val="0"/>
                            <w:jc w:val="right"/>
                            <w:rPr>
                              <w:sz w:val="32"/>
                              <w:szCs w:val="32"/>
                            </w:rPr>
                          </w:pPr>
                          <w:r>
                            <w:rPr>
                              <w:rFonts w:ascii="Arial" w:hAnsi="Arial"/>
                              <w:b/>
                              <w:color w:val="003F9A"/>
                              <w:sz w:val="32"/>
                              <w:szCs w:val="32"/>
                            </w:rPr>
                            <w:t>Soft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pt;height:37.9pt;width:191.05pt;z-index:251660288;mso-width-relative:page;mso-height-relative:page;" fillcolor="#FFFFFF" filled="t" stroked="f" coordsize="21600,21600" o:gfxdata="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F2XS9PZAAAA&#10;CQEAAA8AAAAAAAAAAQAgAAAAOAAAAGRycy9kb3ducmV2LnhtbFBLAQIUABQAAAAIAIdO4kAKzQcL&#10;PwIAAGsEAAAOAAAAAAAAAAEAIAAAAD4BAABkcnMvZTJvRG9jLnhtbFBLBQYAAAAABgAGAFkBAADv&#10;BQAAAAA=&#10;">
              <v:fill on="t" opacity="0f" focussize="0,0"/>
              <v:stroke on="f"/>
              <v:imagedata o:title=""/>
              <o:lock v:ext="edit" aspectratio="f"/>
              <v:textbox>
                <w:txbxContent>
                  <w:p>
                    <w:pPr>
                      <w:wordWrap w:val="0"/>
                      <w:jc w:val="right"/>
                      <w:rPr>
                        <w:sz w:val="32"/>
                        <w:szCs w:val="32"/>
                      </w:rPr>
                    </w:pPr>
                    <w:r>
                      <w:rPr>
                        <w:rFonts w:ascii="Arial" w:hAnsi="Arial"/>
                        <w:b/>
                        <w:color w:val="003F9A"/>
                        <w:sz w:val="32"/>
                        <w:szCs w:val="32"/>
                      </w:rPr>
                      <w:t>Soft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Soft Sci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10.20517/ss.202</w:t>
    </w:r>
    <w:r>
      <w:rPr>
        <w:rFonts w:hint="eastAsia" w:ascii="Times New Roman" w:hAnsi="Times New Roman" w:cs="Times New Roman"/>
        <w:sz w:val="16"/>
        <w:szCs w:val="16"/>
        <w:lang w:val="en-US" w:eastAsia="zh-Hans"/>
      </w:rPr>
      <w:t>x</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Y2Q0MTkwMDYzZDZiNzVjODlhYzQzNmI1MmYxMWU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70C2A"/>
    <w:rsid w:val="00273491"/>
    <w:rsid w:val="00290926"/>
    <w:rsid w:val="00290E95"/>
    <w:rsid w:val="002A72BC"/>
    <w:rsid w:val="002B275F"/>
    <w:rsid w:val="002F0090"/>
    <w:rsid w:val="003203EF"/>
    <w:rsid w:val="00331E76"/>
    <w:rsid w:val="003341F7"/>
    <w:rsid w:val="00360291"/>
    <w:rsid w:val="003608FF"/>
    <w:rsid w:val="00380411"/>
    <w:rsid w:val="003A3A05"/>
    <w:rsid w:val="003B18E9"/>
    <w:rsid w:val="003B627D"/>
    <w:rsid w:val="003F336F"/>
    <w:rsid w:val="004103AD"/>
    <w:rsid w:val="004119BB"/>
    <w:rsid w:val="00423880"/>
    <w:rsid w:val="004438AD"/>
    <w:rsid w:val="00450D16"/>
    <w:rsid w:val="0046122F"/>
    <w:rsid w:val="004812D8"/>
    <w:rsid w:val="004936BC"/>
    <w:rsid w:val="00495DEF"/>
    <w:rsid w:val="00497675"/>
    <w:rsid w:val="004E75DE"/>
    <w:rsid w:val="004F52CE"/>
    <w:rsid w:val="00527997"/>
    <w:rsid w:val="00537471"/>
    <w:rsid w:val="005570D9"/>
    <w:rsid w:val="005631DD"/>
    <w:rsid w:val="005A7003"/>
    <w:rsid w:val="005B4B15"/>
    <w:rsid w:val="005B7982"/>
    <w:rsid w:val="005D24D6"/>
    <w:rsid w:val="005D7EF4"/>
    <w:rsid w:val="00615CC6"/>
    <w:rsid w:val="00637595"/>
    <w:rsid w:val="00640C26"/>
    <w:rsid w:val="006538A1"/>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F0E63"/>
    <w:rsid w:val="009F682D"/>
    <w:rsid w:val="00A079B2"/>
    <w:rsid w:val="00A11E68"/>
    <w:rsid w:val="00A17162"/>
    <w:rsid w:val="00A37A37"/>
    <w:rsid w:val="00A533AB"/>
    <w:rsid w:val="00A63E12"/>
    <w:rsid w:val="00A920DE"/>
    <w:rsid w:val="00AA30C9"/>
    <w:rsid w:val="00B110DE"/>
    <w:rsid w:val="00B218D5"/>
    <w:rsid w:val="00B21913"/>
    <w:rsid w:val="00B42AC5"/>
    <w:rsid w:val="00B44FFC"/>
    <w:rsid w:val="00B66048"/>
    <w:rsid w:val="00B74EF5"/>
    <w:rsid w:val="00B8183C"/>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CE58AE"/>
    <w:rsid w:val="00D14D69"/>
    <w:rsid w:val="00D16246"/>
    <w:rsid w:val="00D4124E"/>
    <w:rsid w:val="00D5537A"/>
    <w:rsid w:val="00D67039"/>
    <w:rsid w:val="00D72BC5"/>
    <w:rsid w:val="00D81E0C"/>
    <w:rsid w:val="00DA3F04"/>
    <w:rsid w:val="00DA4C32"/>
    <w:rsid w:val="00DB3134"/>
    <w:rsid w:val="00DB7EF4"/>
    <w:rsid w:val="00DC37CC"/>
    <w:rsid w:val="00DD29D7"/>
    <w:rsid w:val="00DE782E"/>
    <w:rsid w:val="00DF4F56"/>
    <w:rsid w:val="00DF5C43"/>
    <w:rsid w:val="00E1631D"/>
    <w:rsid w:val="00E31605"/>
    <w:rsid w:val="00E9329E"/>
    <w:rsid w:val="00E974FE"/>
    <w:rsid w:val="00E97C82"/>
    <w:rsid w:val="00EA21CF"/>
    <w:rsid w:val="00EB6F7F"/>
    <w:rsid w:val="00EE548B"/>
    <w:rsid w:val="00EF46A1"/>
    <w:rsid w:val="00EF72CE"/>
    <w:rsid w:val="00F22648"/>
    <w:rsid w:val="00F37CB8"/>
    <w:rsid w:val="00F443E3"/>
    <w:rsid w:val="00F471B9"/>
    <w:rsid w:val="00F61E3C"/>
    <w:rsid w:val="00F931F7"/>
    <w:rsid w:val="00F96DD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36D8B"/>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370AB"/>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EFE317"/>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44334"/>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6FF7AC0C"/>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CAA47D"/>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CFE1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Unresolved Mention"/>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2027</Words>
  <Characters>12136</Characters>
  <Lines>101</Lines>
  <Paragraphs>28</Paragraphs>
  <TotalTime>1</TotalTime>
  <ScaleCrop>false</ScaleCrop>
  <LinksUpToDate>false</LinksUpToDate>
  <CharactersWithSpaces>14011</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2018-06-07T00:00:00Z</dcterms:created>
  <dc:creator>A</dc:creator>
  <cp:lastModifiedBy>丁海蒂</cp:lastModifiedBy>
  <dcterms:modified xsi:type="dcterms:W3CDTF">2026-02-05T17:10:22Z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9FBBB5853D7382517E5E8469FB3FC52C_43</vt:lpwstr>
  </property>
</Properties>
</file>