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D1665">
      <w:pPr>
        <w:adjustRightInd w:val="0"/>
        <w:snapToGrid w:val="0"/>
        <w:spacing w:before="312" w:beforeLines="100"/>
        <w:rPr>
          <w:rFonts w:ascii="Times New Roman" w:hAnsi="Times New Roman" w:cs="Times New Roman"/>
        </w:rPr>
      </w:pPr>
      <w:r>
        <w:rPr>
          <w:rFonts w:hint="eastAsia" w:ascii="Times New Roman" w:hAnsi="Times New Roman" w:cs="Times New Roman"/>
          <w:b/>
          <w:bCs/>
        </w:rPr>
        <w:t>Opinion</w:t>
      </w:r>
    </w:p>
    <w:p w14:paraId="28C03AB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680AB91B">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91A2233">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6044FC3">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0C648D64">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2552E4E">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1A7CF93">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B1E9B6C">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4CC59A1C">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 xml:space="preserve">1 Jan </w:t>
      </w:r>
      <w:r>
        <w:rPr>
          <w:rFonts w:hint="eastAsia" w:ascii="Times New Roman" w:hAnsi="Times New Roman" w:eastAsia="宋体" w:cs="Times New Roman"/>
          <w:iCs/>
          <w:color w:val="808080" w:themeColor="background1" w:themeShade="80"/>
          <w:kern w:val="0"/>
          <w:sz w:val="18"/>
          <w:szCs w:val="18"/>
          <w:lang w:eastAsia="zh-CN"/>
        </w:rPr>
        <w:t>2023</w:t>
      </w:r>
      <w:r>
        <w:rPr>
          <w:rFonts w:hint="eastAsia" w:ascii="Times New Roman" w:hAnsi="Times New Roman" w:eastAsia="宋体" w:cs="Times New Roman"/>
          <w:color w:val="808080" w:themeColor="background1" w:themeShade="80"/>
          <w:kern w:val="0"/>
          <w:sz w:val="18"/>
          <w:szCs w:val="18"/>
        </w:rPr>
        <w:t>]</w:t>
      </w:r>
    </w:p>
    <w:p w14:paraId="001BA278">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492B3A">
      <w:pPr>
        <w:pStyle w:val="23"/>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"mailto:par_editor001@parjournal.net" </w:instrText>
      </w:r>
      <w:r>
        <w:fldChar w:fldCharType="separate"/>
      </w:r>
      <w:r>
        <w:rPr>
          <w:rStyle w:val="13"/>
          <w:rFonts w:hint="eastAsia" w:ascii="Times New Roman" w:hAnsi="Times New Roman"/>
          <w:b/>
          <w:bCs/>
          <w:i/>
          <w:color w:val="808080" w:themeColor="background1" w:themeShade="80"/>
          <w:sz w:val="18"/>
          <w:szCs w:val="18"/>
        </w:rPr>
        <w:t>par_editor001@parjournal.net</w:t>
      </w:r>
      <w:r>
        <w:rPr>
          <w:rStyle w:val="13"/>
          <w:rFonts w:hint="eastAsia"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1B25AE12">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23EE5D4">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0FE814BA">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19C7FE7C">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DCC739B">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06D68990">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4D58D9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576C824D">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2C27A5BC">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0CE2946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opinion in detail. It may contains authors</w:t>
      </w:r>
      <w:r>
        <w:rPr>
          <w:rFonts w:ascii="Times New Roman" w:hAnsi="Times New Roman" w:cs="Times New Roman"/>
          <w:sz w:val="20"/>
          <w:szCs w:val="20"/>
        </w:rPr>
        <w:t>’</w:t>
      </w:r>
      <w:r>
        <w:rPr>
          <w:rFonts w:hint="eastAsia" w:ascii="Times New Roman" w:hAnsi="Times New Roman" w:cs="Times New Roman"/>
          <w:sz w:val="20"/>
          <w:szCs w:val="20"/>
        </w:rPr>
        <w:t xml:space="preserve"> detailed opinions on the methods applied to specific experiments, analysis on research findings or interpretation of a concept in a study, comment on advantages/disadvantages of a theory/hypothesis, </w:t>
      </w:r>
      <w:r>
        <w:rPr>
          <w:rFonts w:hint="eastAsia" w:ascii="Times New Roman" w:hAnsi="Times New Roman" w:cs="Times New Roman"/>
          <w:i/>
          <w:iCs/>
          <w:sz w:val="20"/>
          <w:szCs w:val="20"/>
        </w:rPr>
        <w:t>etc</w:t>
      </w:r>
      <w:r>
        <w:rPr>
          <w:rFonts w:hint="eastAsia" w:ascii="Times New Roman" w:hAnsi="Times New Roman" w:cs="Times New Roman"/>
          <w:sz w:val="20"/>
          <w:szCs w:val="20"/>
        </w:rPr>
        <w:t>. Evidences that support the opinions should be given in this part.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0377064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4F7410A">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65BF76B1">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0BE8BA9D">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53D7CEA8">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2B4471">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7F53608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"http://www.oaepublish.com/files/tpl/par/Template_for_Supplementary_Material_par.docx"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5EE281D5">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9997F5D">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12E3063D">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2FB7155E">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1792C22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F287C0">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13E8B56C">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71480A2A">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63F00609">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E138E4">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0A7A029A">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CFBC7F7">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5FD3C3A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23EBFD6F">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6D2D53C7">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6EAC66DB">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471BA28E">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750F71F2">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773406E8">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AFEA09E">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551B690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BC3ADAF">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1D87E712">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75B5F579">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5B6771E6">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275C998C">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0DD108E5">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0B9FE8FB">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01AF462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D31350E">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7ECA6937">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5EDB95A7">
            <w:pPr>
              <w:pStyle w:val="20"/>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5BA8266F">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08EA2FFB">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284B6254">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448F9ADD">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032A4167">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7357A91">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0706CDEE">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E46A83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2F9EC5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E84460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EF12BC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1386636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2887F9C2">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AA8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9BB8BBC">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1B7AC94">
            <w:pPr>
              <w:pStyle w:val="24"/>
              <w:spacing w:line="260" w:lineRule="atLeast"/>
              <w:jc w:val="center"/>
              <w:rPr>
                <w:rFonts w:ascii="Times New Roman" w:hAnsi="Times New Roman"/>
              </w:rPr>
            </w:pPr>
            <w:r>
              <w:rPr>
                <w:rFonts w:ascii="Times New Roman" w:hAnsi="Times New Roman"/>
              </w:rPr>
              <w:t>(1)</w:t>
            </w:r>
          </w:p>
        </w:tc>
      </w:tr>
    </w:tbl>
    <w:p w14:paraId="313C060E">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E3AF999">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C30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A1D7B2E">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2CCF098">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541017F9">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58850A8F">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55F1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4F6521C">
            <w:pPr>
              <w:pStyle w:val="19"/>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42B666">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5DC5FE63">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C16645C">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31547C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626408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A381DA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008B0B1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BAB3C3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AC861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09CE446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76DEA2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B003DD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4ADC7CB">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199290AB">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14:paraId="2E5A4C22">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13A1BD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hint="eastAsia" w:ascii="Times New Roman" w:hAnsi="Times New Roman" w:cs="Times New Roman"/>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hint="eastAsia" w:ascii="Times New Roman" w:hAnsi="Times New Roman" w:cs="Times New Roman"/>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w:t>
      </w:r>
    </w:p>
    <w:p w14:paraId="459AEF3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41A7848E">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040C28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147C173E">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79FFD8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43D43FBD">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0F54EF5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6FCDCE24">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503E12D">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45DDEEB9">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5D3E743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541CFAE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FAD6324">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3F7A56A">
      <w:pPr>
        <w:widowControl/>
        <w:adjustRightInd w:val="0"/>
        <w:snapToGrid w:val="0"/>
        <w:spacing w:before="156" w:beforeLines="50" w:line="260" w:lineRule="atLeast"/>
        <w:rPr>
          <w:rFonts w:ascii="Times New Roman" w:hAnsi="Times New Roman" w:cs="Times New Roman"/>
          <w:sz w:val="20"/>
          <w:szCs w:val="20"/>
        </w:rPr>
      </w:pPr>
    </w:p>
    <w:p w14:paraId="2E2A1948">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b/>
          <w:bCs/>
          <w:kern w:val="0"/>
          <w:sz w:val="22"/>
          <w:szCs w:val="22"/>
        </w:rPr>
        <w:t>AI and AI-assisted tools Statement</w:t>
      </w:r>
    </w:p>
    <w:p w14:paraId="6A5C5DAE">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2442B4A5">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If the manuscript does not involve this issue, state “Not applicable.” in this section.</w:t>
      </w:r>
    </w:p>
    <w:p w14:paraId="2136708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7E5F85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604ABA6A">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5904016B">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52248991">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None.</w:t>
      </w:r>
    </w:p>
    <w:p w14:paraId="6D32FF1A">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71458D9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D914C9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3421195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6EC4803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50C5598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3B794AE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2312D38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7F2525C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26E952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bookmarkStart w:id="13" w:name="_GoBack"/>
      <w:bookmarkEnd w:id="13"/>
    </w:p>
    <w:p w14:paraId="3B47BB41">
      <w:pPr>
        <w:widowControl/>
        <w:adjustRightInd w:val="0"/>
        <w:snapToGrid w:val="0"/>
        <w:spacing w:line="260" w:lineRule="atLeast"/>
        <w:jc w:val="left"/>
        <w:rPr>
          <w:rFonts w:ascii="Times New Roman" w:hAnsi="Times New Roman" w:eastAsia="Times New Roman" w:cs="Times New Roman"/>
          <w:b/>
          <w:bCs/>
          <w:iCs/>
          <w:color w:val="190F13"/>
          <w:sz w:val="24"/>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26</w:t>
      </w:r>
      <w:r>
        <w:rPr>
          <w:rFonts w:ascii="Times New Roman" w:hAnsi="Times New Roman" w:eastAsia="宋体" w:cs="Times New Roman"/>
          <w:color w:val="000000"/>
          <w:kern w:val="0"/>
          <w:sz w:val="20"/>
          <w:szCs w:val="20"/>
        </w:rPr>
        <w:t>.</w:t>
      </w:r>
    </w:p>
    <w:p w14:paraId="2B41359F">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3EC2CF76">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457895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3868629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049A686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4BD554C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808080" w:themeColor="background1" w:themeShade="80"/>
          <w:sz w:val="18"/>
          <w:szCs w:val="18"/>
        </w:rPr>
        <w:t>http://www2.bg.am.poznan.pl/czasopisma/medicus.php?lang=eng</w:t>
      </w:r>
      <w:r>
        <w:rPr>
          <w:rStyle w:val="13"/>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A379B54">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CA40A7B">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bookmarkStart w:id="8" w:name="OLE_LINK20"/>
      <w:bookmarkStart w:id="9" w:name="OLE_LINK19"/>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07162E7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hint="eastAsia" w:ascii="Times New Roman" w:hAnsi="Times New Roman" w:eastAsia="宋体" w:cs="Times New Roman"/>
          <w:iCs/>
          <w:color w:val="000000"/>
          <w:kern w:val="0"/>
          <w:sz w:val="20"/>
          <w:szCs w:val="20"/>
          <w:lang w:val="en-US" w:eastAsia="zh-CN"/>
        </w:rPr>
        <w:t xml:space="preserve">. </w:t>
      </w:r>
      <w:r>
        <w:rPr>
          <w:rFonts w:ascii="Times New Roman" w:hAnsi="Times New Roman" w:eastAsia="宋体" w:cs="Times New Roman"/>
          <w:color w:val="000000"/>
          <w:kern w:val="0"/>
          <w:sz w:val="20"/>
          <w:szCs w:val="20"/>
        </w:rPr>
        <w:t>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11FDF15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52499BB1">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w:t>
      </w:r>
      <w:bookmarkStart w:id="10" w:name="OLE_LINK7"/>
      <w:bookmarkStart w:id="11" w:name="OLE_LINK8"/>
      <w:r>
        <w:rPr>
          <w:rFonts w:ascii="Times New Roman" w:hAnsi="Times New Roman" w:eastAsia="宋体" w:cs="Times New Roman"/>
          <w:color w:val="000000"/>
          <w:kern w:val="0"/>
          <w:sz w:val="20"/>
          <w:szCs w:val="20"/>
        </w:rPr>
        <w:t>Hypertension, insulin, and proinsulin in participants with impaired glucose tolerance</w:t>
      </w:r>
      <w:bookmarkEnd w:id="10"/>
      <w:bookmarkEnd w:id="11"/>
      <w:r>
        <w:rPr>
          <w:rFonts w:ascii="Times New Roman" w:hAnsi="Times New Roman" w:eastAsia="宋体" w:cs="Times New Roman"/>
          <w:color w:val="000000"/>
          <w:kern w:val="0"/>
          <w:sz w:val="20"/>
          <w:szCs w:val="20"/>
        </w:rPr>
        <w:t>.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1123F1C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EB4538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hint="eastAsia" w:ascii="Times New Roman" w:hAnsi="Times New Roman" w:eastAsia="宋体" w:cs="Times New Roman"/>
          <w:iCs/>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12771764 DOI: 10.1097/01.ju.0000067940.76090.73]</w:t>
      </w:r>
    </w:p>
    <w:p w14:paraId="16D4B66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6BB5F2C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J Appl Clin Pediatr</w:t>
      </w:r>
      <w:r>
        <w:rPr>
          <w:rFonts w:hint="eastAsia" w:ascii="Times New Roman" w:hAnsi="Times New Roman" w:eastAsia="宋体" w:cs="Times New Roman"/>
          <w:iCs/>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293474E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4C85A50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lang w:val="en-US" w:eastAsia="zh-CN"/>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10F732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55F44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14:paraId="79433A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4CD3936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1CB4938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5099A57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0"/>
          <w:szCs w:val="20"/>
        </w:rPr>
        <w:t>https://www.fda.gov/NewsEvents/Newsroom/PressAnnouncements/ucm574058.htm</w:t>
      </w:r>
      <w:r>
        <w:rPr>
          <w:rStyle w:val="13"/>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B6818C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0EBE6EC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4B5D69E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FF7988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bookmarkEnd w:id="8"/>
    <w:bookmarkEnd w:id="9"/>
    <w:p w14:paraId="5A58D52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05CCA5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488C6D19">
      <w:pPr>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default" w:ascii="Times New Roman" w:hAnsi="Times New Roman" w:eastAsia="Roboto" w:cs="Times New Roman"/>
          <w:b/>
          <w:bCs/>
          <w:i w:val="0"/>
          <w:iCs w:val="0"/>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T</w:t>
      </w:r>
      <w:r>
        <w:rPr>
          <w:rFonts w:hint="default" w:ascii="Times New Roman" w:hAnsi="Times New Roman" w:eastAsia="Roboto" w:cs="Times New Roman"/>
          <w:b/>
          <w:bCs/>
          <w:i/>
          <w:iCs/>
          <w:caps w:val="0"/>
          <w:color w:val="000000"/>
          <w:spacing w:val="0"/>
          <w:sz w:val="20"/>
          <w:szCs w:val="20"/>
          <w:shd w:val="clear" w:color="auto" w:fill="FFFFFF"/>
        </w:rPr>
        <w:t>hesis or dissertation</w:t>
      </w:r>
    </w:p>
    <w:p w14:paraId="1EF865D6">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https://resolver.caltech.edu/CaltechTHESIS:05102010-145436548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580142AA">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T</w:t>
      </w:r>
      <w:r>
        <w:rPr>
          <w:rFonts w:hint="default" w:ascii="Times New Roman" w:hAnsi="Times New Roman" w:eastAsia="Roboto" w:cs="Times New Roman"/>
          <w:b/>
          <w:bCs/>
          <w:i/>
          <w:iCs/>
          <w:caps w:val="0"/>
          <w:color w:val="000000"/>
          <w:spacing w:val="0"/>
          <w:sz w:val="20"/>
          <w:szCs w:val="20"/>
          <w:shd w:val="clear" w:color="auto" w:fill="FFFFFF"/>
        </w:rPr>
        <w:t>hesis or dissertation in print</w:t>
      </w:r>
    </w:p>
    <w:p w14:paraId="17EB77F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7CAD2CF8">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W</w:t>
      </w:r>
      <w:r>
        <w:rPr>
          <w:rFonts w:hint="default" w:ascii="Times New Roman" w:hAnsi="Times New Roman" w:eastAsia="Roboto" w:cs="Times New Roman"/>
          <w:b/>
          <w:bCs/>
          <w:i/>
          <w:iCs/>
          <w:caps w:val="0"/>
          <w:color w:val="000000"/>
          <w:spacing w:val="0"/>
          <w:sz w:val="20"/>
          <w:szCs w:val="20"/>
          <w:shd w:val="clear" w:color="auto" w:fill="FFFFFF"/>
        </w:rPr>
        <w:t>ebsite</w:t>
      </w:r>
    </w:p>
    <w:p w14:paraId="3E7C66D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https://www.who.int/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1B33CF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N</w:t>
      </w:r>
      <w:r>
        <w:rPr>
          <w:rFonts w:hint="default" w:ascii="Times New Roman" w:hAnsi="Times New Roman" w:eastAsia="Roboto" w:cs="Times New Roman"/>
          <w:b/>
          <w:bCs/>
          <w:i/>
          <w:iCs/>
          <w:caps w:val="0"/>
          <w:color w:val="000000"/>
          <w:spacing w:val="0"/>
          <w:sz w:val="20"/>
          <w:szCs w:val="20"/>
          <w:shd w:val="clear" w:color="auto" w:fill="FFFFFF"/>
        </w:rPr>
        <w:t>ewspaper</w:t>
      </w:r>
    </w:p>
    <w:p w14:paraId="3A559D62">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w:t>
      </w:r>
      <w:r>
        <w:rPr>
          <w:rFonts w:hint="eastAsia" w:ascii="Times New Roman" w:hAnsi="Times New Roman" w:eastAsia="宋体" w:cs="Times New Roman"/>
          <w:i/>
          <w:iCs/>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iCs/>
          <w:caps w:val="0"/>
          <w:color w:val="000000"/>
          <w:spacing w:val="0"/>
          <w:sz w:val="20"/>
          <w:szCs w:val="20"/>
          <w:shd w:val="clear" w:color="auto" w:fill="FFFFFF"/>
        </w:rPr>
        <w:t>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https://www.pennlive.com/news/2018/11/school_district_sued_over_burn.html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0070440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D</w:t>
      </w:r>
      <w:r>
        <w:rPr>
          <w:rFonts w:hint="default" w:ascii="Times New Roman" w:hAnsi="Times New Roman" w:eastAsia="Roboto" w:cs="Times New Roman"/>
          <w:b/>
          <w:bCs/>
          <w:i/>
          <w:iCs/>
          <w:caps w:val="0"/>
          <w:color w:val="000000"/>
          <w:spacing w:val="0"/>
          <w:sz w:val="20"/>
          <w:szCs w:val="20"/>
          <w:shd w:val="clear" w:color="auto" w:fill="FFFFFF"/>
        </w:rPr>
        <w:t>atabase</w:t>
      </w:r>
    </w:p>
    <w:p w14:paraId="774DA6BE">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SpectraBase.</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Bio-Rad Laboratories. Available</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 xml:space="preserve">from https://spectrabase.com/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90FD3D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P</w:t>
      </w:r>
      <w:r>
        <w:rPr>
          <w:rFonts w:hint="default" w:ascii="Times New Roman" w:hAnsi="Times New Roman" w:eastAsia="Roboto" w:cs="Times New Roman"/>
          <w:b/>
          <w:bCs/>
          <w:i/>
          <w:iCs/>
          <w:caps w:val="0"/>
          <w:color w:val="000000"/>
          <w:spacing w:val="0"/>
          <w:sz w:val="20"/>
          <w:szCs w:val="20"/>
          <w:shd w:val="clear" w:color="auto" w:fill="FFFFFF"/>
        </w:rPr>
        <w:t>atent</w:t>
      </w:r>
    </w:p>
    <w:p w14:paraId="15FC48C5">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034FC994">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aps w:val="0"/>
          <w:color w:val="000000"/>
          <w:spacing w:val="0"/>
          <w:sz w:val="20"/>
          <w:szCs w:val="20"/>
          <w:shd w:val="clear" w:color="auto" w:fill="FFFFFF"/>
        </w:rPr>
        <w:t>Preprint</w:t>
      </w:r>
    </w:p>
    <w:p w14:paraId="3A0DFE1C">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https://arxiv.org/abs/2401.00044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p w14:paraId="373B98A2">
      <w:pPr>
        <w:keepNext w:val="0"/>
        <w:keepLines w:val="0"/>
        <w:pageBreakBefore w:val="0"/>
        <w:widowControl/>
        <w:kinsoku/>
        <w:wordWrap/>
        <w:overflowPunct/>
        <w:topLinePunct w:val="0"/>
        <w:autoSpaceDE/>
        <w:autoSpaceDN/>
        <w:bidi w:val="0"/>
        <w:adjustRightInd w:val="0"/>
        <w:snapToGrid w:val="0"/>
        <w:spacing w:line="260" w:lineRule="atLeast"/>
        <w:jc w:val="both"/>
        <w:textAlignment w:val="auto"/>
        <w:rPr>
          <w:rFonts w:ascii="Times New Roman" w:hAnsi="Times New Roman" w:eastAsia="宋体" w:cs="Times New Roman"/>
          <w:color w:val="000000"/>
          <w:kern w:val="0"/>
          <w:sz w:val="20"/>
          <w:szCs w:val="20"/>
        </w:rPr>
      </w:pPr>
    </w:p>
    <w:p w14:paraId="19FCE4E5">
      <w:pPr>
        <w:keepNext w:val="0"/>
        <w:keepLines w:val="0"/>
        <w:pageBreakBefore w:val="0"/>
        <w:widowControl/>
        <w:tabs>
          <w:tab w:val="left" w:pos="5094"/>
        </w:tabs>
        <w:kinsoku/>
        <w:wordWrap/>
        <w:overflowPunct/>
        <w:topLinePunct w:val="0"/>
        <w:autoSpaceDE/>
        <w:autoSpaceDN/>
        <w:bidi w:val="0"/>
        <w:adjustRightInd w:val="0"/>
        <w:snapToGrid w:val="0"/>
        <w:spacing w:before="156" w:beforeLines="50" w:after="156" w:afterLines="50" w:line="260" w:lineRule="atLeast"/>
        <w:jc w:val="both"/>
        <w:textAlignment w:val="auto"/>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3"/>
          <w:rFonts w:ascii="Times New Roman" w:hAnsi="Times New Roman" w:eastAsia="宋体" w:cs="Times New Roman"/>
          <w:b/>
          <w:bCs/>
          <w:i/>
          <w:iCs/>
          <w:color w:val="000000"/>
          <w:kern w:val="0"/>
          <w:sz w:val="20"/>
          <w:szCs w:val="20"/>
        </w:rPr>
        <w:t>https://www.nlm.nih.gov/bsd/uniform_requirements.html)</w:t>
      </w:r>
      <w:r>
        <w:rPr>
          <w:rStyle w:val="13"/>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B004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3B1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7CF9158">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6F9FEC6">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"http://www.parjournal.net" </w:instrText>
    </w:r>
    <w:r>
      <w:fldChar w:fldCharType="separate"/>
    </w:r>
    <w:r>
      <w:rPr>
        <w:rStyle w:val="13"/>
        <w:rFonts w:hint="eastAsia"/>
        <w:b/>
        <w:bCs/>
        <w:sz w:val="16"/>
        <w:szCs w:val="16"/>
        <w:u w:val="none"/>
      </w:rPr>
      <w:t>www.parjournal.net</w:t>
    </w:r>
    <w:r>
      <w:rPr>
        <w:rStyle w:val="13"/>
        <w:rFonts w:hint="eastAsia"/>
        <w:b/>
        <w:bCs/>
        <w:sz w:val="16"/>
        <w:szCs w:val="16"/>
        <w:u w:val="none"/>
      </w:rPr>
      <w:fldChar w:fldCharType="end"/>
    </w:r>
  </w:p>
  <w:p w14:paraId="1E5A3467">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2F62">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Plast Aesthet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2347-9264</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EC1B5">
    <w:pPr>
      <w:pStyle w:val="5"/>
      <w:adjustRightInd w:val="0"/>
      <w:rPr>
        <w:rFonts w:ascii="Times New Roman" w:hAnsi="Times New Roman" w:cs="Times New Roman"/>
        <w:sz w:val="14"/>
        <w:szCs w:val="14"/>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Plast Aesthet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2347-9264</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p w14:paraId="2D6C8275">
    <w:pPr>
      <w:pStyle w:val="5"/>
      <w:adjustRightInd w:val="0"/>
      <w:rPr>
        <w:rFonts w:ascii="Times New Roman" w:hAnsi="Times New Roman" w:cs="Times New Roman"/>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E1CC8">
    <w:pPr>
      <w:pStyle w:val="5"/>
    </w:pPr>
    <w:bookmarkStart w:id="12"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Plast Aesthet Res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2347-9264</w:t>
    </w:r>
    <w:r>
      <w:rPr>
        <w:rFonts w:ascii="Times New Roman" w:hAnsi="Times New Roman" w:cs="Times New Roman"/>
        <w:sz w:val="16"/>
        <w:szCs w:val="16"/>
      </w:rPr>
      <w:t>.xxxx.xx</w:t>
    </w:r>
    <w:bookmarkEnd w:id="12"/>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2991485</wp:posOffset>
              </wp:positionH>
              <wp:positionV relativeFrom="paragraph">
                <wp:posOffset>-125095</wp:posOffset>
              </wp:positionV>
              <wp:extent cx="2426335" cy="481965"/>
              <wp:effectExtent l="0" t="0" r="0" b="0"/>
              <wp:wrapNone/>
              <wp:docPr id="2"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784F8F82">
                          <w:pPr>
                            <w:jc w:val="right"/>
                          </w:pPr>
                          <w:r>
                            <w:rPr>
                              <w:rFonts w:hint="eastAsia" w:ascii="Arial" w:hAnsi="Arial"/>
                              <w:b/>
                              <w:color w:val="003F9A"/>
                              <w:sz w:val="26"/>
                              <w:szCs w:val="26"/>
                            </w:rPr>
                            <w:t xml:space="preserve">          Plastic and Aesthetic Research</w:t>
                          </w:r>
                        </w:p>
                      </w:txbxContent>
                    </wps:txbx>
                    <wps:bodyPr vert="horz" anchor="t" upright="1"/>
                  </wps:wsp>
                </a:graphicData>
              </a:graphic>
            </wp:anchor>
          </w:drawing>
        </mc:Choice>
        <mc:Fallback>
          <w:pict>
            <v:shape id="文本框 4" o:spid="_x0000_s1026" o:spt="202" type="#_x0000_t202" style="position:absolute;left:0pt;margin-left:235.55pt;margin-top:-9.85pt;height:37.95pt;width:191.05pt;z-index:251660288;mso-width-relative:page;mso-height-relative:page;" filled="f" stroked="f" coordsize="21600,21600" o:gfxdata="UEsDBAoAAAAAAIdO4kAAAAAAAAAAAAAAAAAEAAAAZHJzL1BLAwQUAAAACACHTuJAgnJm3tkAAAAK&#10;AQAADwAAAGRycy9kb3ducmV2LnhtbE2Py07DMBBF90j8gzVI7Fo7oekjzaQLEFsQ5SF158bTJCIe&#10;R7HbhL/HrOhydI/uPVPsJtuJCw2+dYyQzBUI4sqZlmuEj/fn2RqED5qN7hwTwg952JW3N4XOjRv5&#10;jS77UItYwj7XCE0IfS6lrxqy2s9dTxyzkxusDvEcamkGPcZy28lUqaW0uuW40OieHhuqvvdni/D5&#10;cjp8LdRr/WSzfnSTkmw3EvH+LlFbEIGm8A/Dn35UhzI6Hd2ZjRcdwmKVJBFFmCWbFYhIrLOHFMQR&#10;IVumIMtCXr9Q/gJQSwMEFAAAAAgAh07iQHolc3XKAQAAfAMAAA4AAABkcnMvZTJvRG9jLnhtbK1T&#10;wW4bIRC9V+o/IO4x9sa2kpXXkSIrvVRJpbQfgFnWiwQMAuxd9wOSP+ipl977Xf6ODuzGjdJLDr3A&#10;MDO8mfcGVje90eQgfVBgKzqbTCmRVkCt7K6i377eXVxREiK3NddgZUWPMtCb9ccPq86VsoAWdC09&#10;QRAbys5VtI3RlYwF0UrDwwSctBhswBse8eh3rPa8Q3SjWTGdLlkHvnYehAwBvZshSEdE/x5AaBol&#10;5AbE3kgbB1QvNY9IKbTKBbrO3TaNFPGhaYKMRFcUmca8YhG0t2ll6xUvd567VomxBf6eFt5wMlxZ&#10;LHqG2vDIyd6rf6CMEh4CNHEiwLCBSFYEWcymb7R5bLmTmQtKHdxZ9PD/YMX94Ysnqq5oQYnlBgd+&#10;+vF8+vn79OuJzJM8nQslZj06zIv9LfT4aF78AZ2Jdd94k3bkQzCO4h7P4so+EoHOYl4sLy8XlAiM&#10;za9m18tFgmF/bzsf4icJhiSjoh6HlzXlh88hDqkvKamYhTuldR6gtqSr6PWiWOQL5wiCa5tyZX4K&#10;I0xiNHSerNhv+5HmFuojssTPgeVb8N8p4VagUdFIyd55tWsxkumzdBeHkhmMDyhN/fUZ7defZv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nJm3tkAAAAKAQAADwAAAAAAAAABACAAAAAiAAAAZHJz&#10;L2Rvd25yZXYueG1sUEsBAhQAFAAAAAgAh07iQHolc3XKAQAAfAMAAA4AAAAAAAAAAQAgAAAAKAEA&#10;AGRycy9lMm9Eb2MueG1sUEsFBgAAAAAGAAYAWQEAAGQFAAAAAA==&#10;">
              <v:fill on="f" focussize="0,0"/>
              <v:stroke on="f"/>
              <v:imagedata o:title=""/>
              <o:lock v:ext="edit" aspectratio="f"/>
              <v:textbox>
                <w:txbxContent>
                  <w:p w14:paraId="784F8F82">
                    <w:pPr>
                      <w:jc w:val="right"/>
                    </w:pPr>
                    <w:r>
                      <w:rPr>
                        <w:rFonts w:hint="eastAsia" w:ascii="Arial" w:hAnsi="Arial"/>
                        <w:b/>
                        <w:color w:val="003F9A"/>
                        <w:sz w:val="26"/>
                        <w:szCs w:val="26"/>
                      </w:rPr>
                      <w:t xml:space="preserve">          Plastic and Aesthetic Research</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2E3NTNiMjliY2IzMGYzYWNlZTMxNjkzMmE0MWQifQ=="/>
  </w:docVars>
  <w:rsids>
    <w:rsidRoot w:val="00172A27"/>
    <w:rsid w:val="000178BA"/>
    <w:rsid w:val="00030B75"/>
    <w:rsid w:val="0003284A"/>
    <w:rsid w:val="00071FCD"/>
    <w:rsid w:val="000B1754"/>
    <w:rsid w:val="000D5EBD"/>
    <w:rsid w:val="000E2A17"/>
    <w:rsid w:val="00172A27"/>
    <w:rsid w:val="0019510B"/>
    <w:rsid w:val="00273491"/>
    <w:rsid w:val="002E5CF6"/>
    <w:rsid w:val="00331E76"/>
    <w:rsid w:val="003608FF"/>
    <w:rsid w:val="003B627D"/>
    <w:rsid w:val="00423880"/>
    <w:rsid w:val="00497675"/>
    <w:rsid w:val="004E7704"/>
    <w:rsid w:val="004F52CE"/>
    <w:rsid w:val="005570D9"/>
    <w:rsid w:val="00637595"/>
    <w:rsid w:val="007B1F28"/>
    <w:rsid w:val="007D1FD5"/>
    <w:rsid w:val="008075EB"/>
    <w:rsid w:val="00842C21"/>
    <w:rsid w:val="008A495C"/>
    <w:rsid w:val="008E6E2C"/>
    <w:rsid w:val="00921419"/>
    <w:rsid w:val="009969E0"/>
    <w:rsid w:val="00A37A37"/>
    <w:rsid w:val="00B42A4B"/>
    <w:rsid w:val="00B42AC5"/>
    <w:rsid w:val="00B74EF5"/>
    <w:rsid w:val="00B94D40"/>
    <w:rsid w:val="00BB3538"/>
    <w:rsid w:val="00C14122"/>
    <w:rsid w:val="00C30C7C"/>
    <w:rsid w:val="00C5076C"/>
    <w:rsid w:val="00C6365E"/>
    <w:rsid w:val="00C93AB8"/>
    <w:rsid w:val="00CA2500"/>
    <w:rsid w:val="00CB3378"/>
    <w:rsid w:val="00D16246"/>
    <w:rsid w:val="00DF5C43"/>
    <w:rsid w:val="00E31605"/>
    <w:rsid w:val="00E34F42"/>
    <w:rsid w:val="00EA21CF"/>
    <w:rsid w:val="00ED1B6A"/>
    <w:rsid w:val="00EE548B"/>
    <w:rsid w:val="00EE7B5F"/>
    <w:rsid w:val="00EF6382"/>
    <w:rsid w:val="00F37CB8"/>
    <w:rsid w:val="00FA6414"/>
    <w:rsid w:val="00FB5158"/>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05F0"/>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29227F"/>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080FF5"/>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40F79"/>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C4463"/>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BB4AC5"/>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938F2"/>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A6BB6"/>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5693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B51EF"/>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202F6"/>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991C2F"/>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127CE"/>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A71B3"/>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954F72" w:themeColor="followedHyperlink"/>
      <w:u w:val="single"/>
      <w14:textFill>
        <w14:solidFill>
          <w14:schemeClr w14:val="folHlink"/>
        </w14:solidFill>
      </w14:textFill>
    </w:rPr>
  </w:style>
  <w:style w:type="character" w:styleId="12">
    <w:name w:val="line number"/>
    <w:basedOn w:val="10"/>
    <w:qFormat/>
    <w:uiPriority w:val="0"/>
  </w:style>
  <w:style w:type="character" w:styleId="13">
    <w:name w:val="Hyperlink"/>
    <w:basedOn w:val="10"/>
    <w:qFormat/>
    <w:uiPriority w:val="0"/>
    <w:rPr>
      <w:color w:val="0000FF"/>
      <w:u w:val="single"/>
    </w:rPr>
  </w:style>
  <w:style w:type="paragraph" w:customStyle="1" w:styleId="14">
    <w:name w:val="MDPI_7.1_References"/>
    <w:basedOn w:val="15"/>
    <w:qFormat/>
    <w:uiPriority w:val="0"/>
    <w:pPr>
      <w:numPr>
        <w:ilvl w:val="0"/>
        <w:numId w:val="1"/>
      </w:numPr>
      <w:spacing w:before="0" w:line="260" w:lineRule="atLeast"/>
      <w:ind w:left="425" w:hanging="425"/>
    </w:pPr>
  </w:style>
  <w:style w:type="paragraph" w:customStyle="1" w:styleId="15">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qFormat/>
    <w:uiPriority w:val="0"/>
    <w:pPr>
      <w:tabs>
        <w:tab w:val="right" w:pos="8845"/>
      </w:tabs>
      <w:spacing w:line="160" w:lineRule="exact"/>
      <w:jc w:val="left"/>
    </w:pPr>
    <w:rPr>
      <w:sz w:val="16"/>
    </w:rPr>
  </w:style>
  <w:style w:type="paragraph" w:customStyle="1" w:styleId="18">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qFormat/>
    <w:uiPriority w:val="0"/>
    <w:pPr>
      <w:spacing w:before="120" w:after="120"/>
      <w:ind w:left="709" w:firstLine="0"/>
      <w:jc w:val="center"/>
    </w:pPr>
  </w:style>
  <w:style w:type="paragraph" w:customStyle="1" w:styleId="23">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qFormat/>
    <w:uiPriority w:val="0"/>
    <w:pPr>
      <w:spacing w:before="120" w:after="120" w:line="240" w:lineRule="auto"/>
      <w:ind w:firstLine="0"/>
      <w:jc w:val="right"/>
    </w:pPr>
  </w:style>
  <w:style w:type="character" w:customStyle="1" w:styleId="25">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740672"/>
        <c:axId val="258871232"/>
      </c:barChart>
      <c:catAx>
        <c:axId val="26774067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8871232"/>
        <c:crosses val="autoZero"/>
        <c:auto val="1"/>
        <c:lblAlgn val="ctr"/>
        <c:lblOffset val="100"/>
        <c:tickLblSkip val="1"/>
        <c:noMultiLvlLbl val="0"/>
      </c:catAx>
      <c:valAx>
        <c:axId val="25887123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740672"/>
        <c:crosses val="autoZero"/>
        <c:crossBetween val="between"/>
      </c:valAx>
      <c:spPr>
        <a:noFill/>
        <a:ln>
          <a:noFill/>
        </a:ln>
        <a:effectLst/>
      </c:spPr>
    </c:plotArea>
    <c:plotVisOnly val="1"/>
    <c:dispBlanksAs val="gap"/>
    <c:showDLblsOverMax val="0"/>
    <c:extLst>
      <c:ext uri="{0b15fc19-7d7d-44ad-8c2d-2c3a37ce22c3}">
        <chartProps xmlns="https://web.wps.cn/et/2018/main" chartId="{22559241-0014-426f-84c1-4a9e80320e1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2093</Words>
  <Characters>12438</Characters>
  <Lines>97</Lines>
  <Paragraphs>27</Paragraphs>
  <TotalTime>1</TotalTime>
  <ScaleCrop>false</ScaleCrop>
  <LinksUpToDate>false</LinksUpToDate>
  <CharactersWithSpaces>14370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2018-11-26T08:50:00Z</dcterms:created>
  <dc:creator>A</dc:creator>
  <cp:lastModifiedBy>Administrator</cp:lastModifiedBy>
  <dcterms:modified xsi:type="dcterms:W3CDTF">2026-02-04T08:02:18Z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3B6F4102089C47F4BEE3A8ACC70C5BBC_13</vt:lpwstr>
  </property>
  <property fmtid="{D5CDD505-2E9C-101B-9397-08002B2CF9AE}" pid="4" name="KSOTemplateDocerSaveRecord">
    <vt:lpwstr>eyJoZGlkIjoiOGFkN2E3NTNiMjliY2IzMGYzYWNlZTMxNjkzMmE0MWQiLCJ1c2VySWQiOiIzMzQxMDU4ODEifQ==</vt:lpwstr>
  </property>
</Properties>
</file>