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DB20D">
      <w:pPr>
        <w:adjustRightInd w:val="0"/>
        <w:snapToGrid w:val="0"/>
        <w:spacing w:before="312" w:beforeLines="100"/>
        <w:rPr>
          <w:rFonts w:ascii="Times New Roman" w:hAnsi="Times New Roman" w:cs="Times New Roman"/>
        </w:rPr>
      </w:pPr>
      <w:r>
        <w:rPr>
          <w:rFonts w:hint="eastAsia" w:ascii="Times New Roman" w:hAnsi="Times New Roman" w:cs="Times New Roman"/>
          <w:b/>
          <w:bCs/>
        </w:rPr>
        <w:t>Meta-Analysis/Systematic Review</w:t>
      </w:r>
    </w:p>
    <w:p w14:paraId="2C263632">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DE7D77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BFFEAF5">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0623B9C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0CCA143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867280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5AFE2A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2C10CBA8">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5FCE1E31">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 xml:space="preserve">1 Jan </w:t>
      </w:r>
      <w:r>
        <w:rPr>
          <w:rFonts w:hint="eastAsia" w:ascii="Times New Roman" w:hAnsi="Times New Roman" w:eastAsia="宋体" w:cs="Times New Roman"/>
          <w:iCs/>
          <w:color w:val="808080" w:themeColor="background1" w:themeShade="80"/>
          <w:kern w:val="0"/>
          <w:sz w:val="18"/>
          <w:szCs w:val="18"/>
          <w:lang w:eastAsia="zh-CN"/>
        </w:rPr>
        <w:t>2023</w:t>
      </w:r>
      <w:r>
        <w:rPr>
          <w:rFonts w:hint="eastAsia" w:ascii="Times New Roman" w:hAnsi="Times New Roman" w:eastAsia="宋体" w:cs="Times New Roman"/>
          <w:color w:val="808080" w:themeColor="background1" w:themeShade="80"/>
          <w:kern w:val="0"/>
          <w:sz w:val="18"/>
          <w:szCs w:val="18"/>
        </w:rPr>
        <w:t>]</w:t>
      </w:r>
    </w:p>
    <w:p w14:paraId="6348CA8B">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4D6ABF4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"mailto:par_editor001@parjournal.net" </w:instrText>
      </w:r>
      <w:r>
        <w:fldChar w:fldCharType="separate"/>
      </w:r>
      <w:r>
        <w:rPr>
          <w:rStyle w:val="13"/>
          <w:rFonts w:hint="eastAsia" w:ascii="Times New Roman" w:hAnsi="Times New Roman" w:cs="Times New Roman"/>
          <w:b/>
          <w:bCs/>
          <w:i/>
          <w:color w:val="808080" w:themeColor="background1" w:themeShade="80"/>
          <w:sz w:val="18"/>
          <w:szCs w:val="18"/>
        </w:rPr>
        <w:t>par_editor001@parjournal.net</w:t>
      </w:r>
      <w:r>
        <w:rPr>
          <w:rStyle w:val="13"/>
          <w:rFonts w:hint="eastAsia"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19C74D88">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60A4DEF">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477E6F9">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1A91CEB7">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hint="eastAsia" w:ascii="Times New Roman" w:hAnsi="Times New Roman" w:cs="Times New Roman"/>
          <w:sz w:val="20"/>
          <w:szCs w:val="20"/>
        </w:rPr>
        <w:t>for example, authors may describe how they compare, summarize or analysis data</w:t>
      </w:r>
      <w:r>
        <w:rPr>
          <w:rFonts w:ascii="Times New Roman" w:hAnsi="Times New Roman" w:cs="Times New Roman"/>
          <w:sz w:val="20"/>
          <w:szCs w:val="20"/>
        </w:rPr>
        <w:t xml:space="preserve">. </w:t>
      </w:r>
    </w:p>
    <w:p w14:paraId="109275C0">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w:t>
      </w:r>
      <w:r>
        <w:rPr>
          <w:rFonts w:hint="eastAsia" w:ascii="Times New Roman" w:hAnsi="Times New Roman" w:cs="Times New Roman"/>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11D0D222">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59FFE727">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hint="eastAsia"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hint="eastAsia" w:ascii="Times New Roman" w:hAnsi="Times New Roman" w:cs="Times New Roman"/>
          <w:sz w:val="20"/>
          <w:szCs w:val="20"/>
        </w:rPr>
        <w:t xml:space="preserve">contrast, meta-analysis, </w:t>
      </w:r>
      <w:r>
        <w:rPr>
          <w:rFonts w:ascii="Times New Roman" w:hAnsi="Times New Roman" w:cs="Times New Roman"/>
          <w:sz w:val="20"/>
          <w:szCs w:val="20"/>
        </w:rPr>
        <w:t>Notch</w:t>
      </w:r>
    </w:p>
    <w:p w14:paraId="64096012">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3AE0A22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0485DC7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69B5DB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12994ED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14:paraId="02BEF2D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138AC4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Search strategy</w:t>
      </w:r>
      <w:r>
        <w:rPr>
          <w:rFonts w:hint="eastAsia" w:ascii="Times New Roman" w:hAnsi="Times New Roman" w:eastAsia="宋体" w:cs="Times New Roman"/>
          <w:color w:val="808080" w:themeColor="background1" w:themeShade="80"/>
          <w:kern w:val="0"/>
          <w:sz w:val="18"/>
          <w:szCs w:val="18"/>
        </w:rPr>
        <w:t>]</w:t>
      </w:r>
    </w:p>
    <w:p w14:paraId="7D64B895">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0C1A759">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hint="eastAsia" w:ascii="Times New Roman" w:hAnsi="Times New Roman" w:eastAsia="宋体" w:cs="Times New Roman"/>
          <w:i/>
          <w:color w:val="808080" w:themeColor="background1" w:themeShade="80"/>
          <w:kern w:val="0"/>
          <w:sz w:val="18"/>
          <w:szCs w:val="18"/>
        </w:rPr>
        <w:t>Data extraction, synthesis and analysis</w:t>
      </w:r>
      <w:r>
        <w:rPr>
          <w:rFonts w:hint="eastAsia" w:ascii="Times New Roman" w:hAnsi="Times New Roman" w:eastAsia="宋体" w:cs="Times New Roman"/>
          <w:color w:val="808080" w:themeColor="background1" w:themeShade="80"/>
          <w:kern w:val="0"/>
          <w:sz w:val="18"/>
          <w:szCs w:val="18"/>
        </w:rPr>
        <w:t>]</w:t>
      </w:r>
    </w:p>
    <w:p w14:paraId="019A574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80E08B0">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14413410">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808080" w:themeColor="background1" w:themeShade="80"/>
          <w:sz w:val="18"/>
          <w:szCs w:val="18"/>
        </w:rPr>
        <w:t>http://www.wma.net/en/30publications/10policies/b3/</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15D6963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074CF3D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"http://www.oaepublish.com/files/tpl/par/Template_for_Supplementary_Material_par.docx"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7CA9319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8AE568A">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325E8C44">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4E6EA708">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14:paraId="0B414C1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6BF5C79F">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20A524C6">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1320ED80">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5265BFC0">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61443E6D">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1E54655B">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2BAF833B">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14:paraId="04F1370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92" w:type="dxa"/>
            <w:vMerge w:val="restart"/>
            <w:vAlign w:val="center"/>
          </w:tcPr>
          <w:p w14:paraId="4AD46909">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14:paraId="59C70B17">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14:paraId="2CC05499">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6A37AA1E">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14:paraId="7E7594C7">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14:paraId="28641333">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14:paraId="42AEB9E4">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2" w:name="OLE_LINK3"/>
            <w:r>
              <w:rPr>
                <w:rFonts w:ascii="Times New Roman" w:hAnsi="Times New Roman" w:cs="Times New Roman" w:eastAsiaTheme="minorEastAsia"/>
                <w:sz w:val="18"/>
                <w:szCs w:val="18"/>
                <w:lang w:val="de-DE" w:eastAsia="zh-CN"/>
              </w:rPr>
              <w:t>±</w:t>
            </w:r>
            <w:bookmarkEnd w:id="2"/>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14:paraId="0A10B57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92" w:type="dxa"/>
            <w:vMerge w:val="continue"/>
            <w:vAlign w:val="center"/>
          </w:tcPr>
          <w:p w14:paraId="206D1E36">
            <w:pPr>
              <w:pStyle w:val="20"/>
              <w:spacing w:line="360" w:lineRule="auto"/>
              <w:jc w:val="left"/>
              <w:rPr>
                <w:lang w:val="de-DE"/>
              </w:rPr>
            </w:pPr>
          </w:p>
        </w:tc>
        <w:tc>
          <w:tcPr>
            <w:tcW w:w="1256" w:type="dxa"/>
            <w:vMerge w:val="continue"/>
            <w:vAlign w:val="center"/>
          </w:tcPr>
          <w:p w14:paraId="29D27A80">
            <w:pPr>
              <w:pStyle w:val="20"/>
              <w:spacing w:line="360" w:lineRule="auto"/>
              <w:jc w:val="left"/>
              <w:rPr>
                <w:lang w:val="de-DE"/>
              </w:rPr>
            </w:pPr>
          </w:p>
        </w:tc>
        <w:tc>
          <w:tcPr>
            <w:tcW w:w="1211" w:type="dxa"/>
            <w:vMerge w:val="continue"/>
            <w:vAlign w:val="center"/>
          </w:tcPr>
          <w:p w14:paraId="3723565D">
            <w:pPr>
              <w:pStyle w:val="20"/>
              <w:spacing w:line="360" w:lineRule="auto"/>
              <w:jc w:val="left"/>
              <w:rPr>
                <w:lang w:val="de-DE"/>
              </w:rPr>
            </w:pPr>
          </w:p>
        </w:tc>
        <w:tc>
          <w:tcPr>
            <w:tcW w:w="1159" w:type="dxa"/>
            <w:vMerge w:val="continue"/>
            <w:vAlign w:val="center"/>
          </w:tcPr>
          <w:p w14:paraId="51FC1334">
            <w:pPr>
              <w:pStyle w:val="20"/>
              <w:spacing w:line="360" w:lineRule="auto"/>
              <w:jc w:val="left"/>
              <w:rPr>
                <w:lang w:val="de-DE"/>
              </w:rPr>
            </w:pPr>
          </w:p>
        </w:tc>
        <w:tc>
          <w:tcPr>
            <w:tcW w:w="1179" w:type="dxa"/>
            <w:vAlign w:val="center"/>
          </w:tcPr>
          <w:p w14:paraId="62CDF29D">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14:paraId="57C1D41F">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14:paraId="4EF17CD8">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14:paraId="3AAFDF8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699E5756">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14:paraId="4AEF27CE">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14:paraId="27E9B7C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14:paraId="1FB7215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14:paraId="295AFB9F">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45A83B6C">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14:paraId="031E58D1">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3" w:name="OLE_LINK2"/>
            <w:r>
              <w:rPr>
                <w:rFonts w:ascii="Times New Roman" w:hAnsi="Times New Roman" w:eastAsia="宋体" w:cs="Times New Roman"/>
                <w:bCs/>
                <w:sz w:val="16"/>
                <w:szCs w:val="16"/>
                <w:vertAlign w:val="superscript"/>
                <w:lang w:val="de-DE"/>
              </w:rPr>
              <w:t>#</w:t>
            </w:r>
            <w:bookmarkEnd w:id="3"/>
          </w:p>
        </w:tc>
      </w:tr>
      <w:tr w14:paraId="7AFCD1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18E9509E">
            <w:pPr>
              <w:pStyle w:val="20"/>
              <w:spacing w:line="360" w:lineRule="auto"/>
              <w:jc w:val="left"/>
              <w:rPr>
                <w:lang w:val="de-DE"/>
              </w:rPr>
            </w:pPr>
          </w:p>
        </w:tc>
        <w:tc>
          <w:tcPr>
            <w:tcW w:w="1256" w:type="dxa"/>
            <w:vMerge w:val="continue"/>
            <w:vAlign w:val="center"/>
          </w:tcPr>
          <w:p w14:paraId="2F59607D">
            <w:pPr>
              <w:pStyle w:val="20"/>
              <w:spacing w:line="360" w:lineRule="auto"/>
              <w:jc w:val="left"/>
              <w:rPr>
                <w:lang w:val="de-DE"/>
              </w:rPr>
            </w:pPr>
          </w:p>
        </w:tc>
        <w:tc>
          <w:tcPr>
            <w:tcW w:w="1211" w:type="dxa"/>
            <w:vMerge w:val="continue"/>
            <w:vAlign w:val="center"/>
          </w:tcPr>
          <w:p w14:paraId="395CE970">
            <w:pPr>
              <w:pStyle w:val="20"/>
              <w:spacing w:line="360" w:lineRule="auto"/>
              <w:jc w:val="left"/>
              <w:rPr>
                <w:lang w:val="de-DE"/>
              </w:rPr>
            </w:pPr>
          </w:p>
        </w:tc>
        <w:tc>
          <w:tcPr>
            <w:tcW w:w="1159" w:type="dxa"/>
            <w:vMerge w:val="continue"/>
            <w:vAlign w:val="center"/>
          </w:tcPr>
          <w:p w14:paraId="55EB9C56">
            <w:pPr>
              <w:pStyle w:val="20"/>
              <w:spacing w:line="360" w:lineRule="auto"/>
              <w:jc w:val="left"/>
              <w:rPr>
                <w:lang w:val="de-DE"/>
              </w:rPr>
            </w:pPr>
          </w:p>
        </w:tc>
        <w:tc>
          <w:tcPr>
            <w:tcW w:w="1179" w:type="dxa"/>
            <w:vAlign w:val="center"/>
          </w:tcPr>
          <w:p w14:paraId="52067078">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25D22FA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14:paraId="344DDFC1">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14:paraId="3BEE470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063A6381">
            <w:pPr>
              <w:pStyle w:val="20"/>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14:paraId="3CA7FAA7">
            <w:pPr>
              <w:pStyle w:val="20"/>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14:paraId="48282BA0">
            <w:pPr>
              <w:pStyle w:val="20"/>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46195347">
            <w:pPr>
              <w:pStyle w:val="20"/>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14:paraId="6324EF5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133625F7">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14:paraId="2EDDC617">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61364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77354C5A">
            <w:pPr>
              <w:pStyle w:val="20"/>
              <w:spacing w:line="360" w:lineRule="auto"/>
              <w:jc w:val="left"/>
              <w:rPr>
                <w:lang w:val="de-DE"/>
              </w:rPr>
            </w:pPr>
          </w:p>
        </w:tc>
        <w:tc>
          <w:tcPr>
            <w:tcW w:w="1256" w:type="dxa"/>
            <w:vMerge w:val="continue"/>
            <w:vAlign w:val="center"/>
          </w:tcPr>
          <w:p w14:paraId="05AA73C1">
            <w:pPr>
              <w:pStyle w:val="20"/>
              <w:spacing w:line="360" w:lineRule="auto"/>
              <w:jc w:val="left"/>
              <w:rPr>
                <w:lang w:val="de-DE"/>
              </w:rPr>
            </w:pPr>
          </w:p>
        </w:tc>
        <w:tc>
          <w:tcPr>
            <w:tcW w:w="1211" w:type="dxa"/>
            <w:vMerge w:val="continue"/>
            <w:vAlign w:val="center"/>
          </w:tcPr>
          <w:p w14:paraId="3B606936">
            <w:pPr>
              <w:pStyle w:val="20"/>
              <w:spacing w:line="360" w:lineRule="auto"/>
              <w:jc w:val="left"/>
              <w:rPr>
                <w:lang w:val="de-DE"/>
              </w:rPr>
            </w:pPr>
          </w:p>
        </w:tc>
        <w:tc>
          <w:tcPr>
            <w:tcW w:w="1159" w:type="dxa"/>
            <w:vMerge w:val="continue"/>
            <w:vAlign w:val="center"/>
          </w:tcPr>
          <w:p w14:paraId="769F17E3">
            <w:pPr>
              <w:pStyle w:val="20"/>
              <w:spacing w:line="360" w:lineRule="auto"/>
              <w:jc w:val="left"/>
              <w:rPr>
                <w:lang w:val="de-DE"/>
              </w:rPr>
            </w:pPr>
          </w:p>
        </w:tc>
        <w:tc>
          <w:tcPr>
            <w:tcW w:w="1179" w:type="dxa"/>
            <w:vAlign w:val="center"/>
          </w:tcPr>
          <w:p w14:paraId="5A75B2AC">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14:paraId="43767EB4">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14:paraId="7B056E2E">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3251E74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92" w:type="dxa"/>
            <w:vMerge w:val="continue"/>
            <w:vAlign w:val="center"/>
          </w:tcPr>
          <w:p w14:paraId="0486E1BB">
            <w:pPr>
              <w:pStyle w:val="20"/>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14:paraId="4F5C08A5">
            <w:pPr>
              <w:pStyle w:val="20"/>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14:paraId="4E218534">
            <w:pPr>
              <w:pStyle w:val="20"/>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14:paraId="5A0648AD">
            <w:pPr>
              <w:pStyle w:val="20"/>
              <w:spacing w:line="360" w:lineRule="auto"/>
              <w:jc w:val="left"/>
              <w:rPr>
                <w:rFonts w:ascii="Times New Roman" w:hAnsi="Times New Roman" w:eastAsia="宋体" w:cs="Times New Roman"/>
                <w:sz w:val="18"/>
                <w:szCs w:val="18"/>
                <w:lang w:val="de-DE" w:eastAsia="zh-CN"/>
              </w:rPr>
            </w:pPr>
          </w:p>
        </w:tc>
        <w:tc>
          <w:tcPr>
            <w:tcW w:w="1179" w:type="dxa"/>
            <w:vAlign w:val="center"/>
          </w:tcPr>
          <w:p w14:paraId="75539B04">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6D487922">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14:paraId="0CF869C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14:paraId="5C3D3EFE">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036DFBD">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35BBB6A">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D790CA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F8147D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A56860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4F5C69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CD7EBE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A8AFF7C">
      <w:pPr>
        <w:widowControl/>
        <w:numPr>
          <w:ilvl w:val="0"/>
          <w:numId w:val="3"/>
        </w:numPr>
        <w:shd w:val="clear" w:color="auto" w:fill="FFFFFF"/>
        <w:adjustRightInd w:val="0"/>
        <w:snapToGrid w:val="0"/>
        <w:spacing w:after="156" w:afterLines="50"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248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7FF8F64">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5C454FD">
            <w:pPr>
              <w:pStyle w:val="24"/>
              <w:spacing w:line="260" w:lineRule="atLeast"/>
              <w:jc w:val="center"/>
              <w:rPr>
                <w:rFonts w:ascii="Times New Roman" w:hAnsi="Times New Roman"/>
              </w:rPr>
            </w:pPr>
            <w:r>
              <w:rPr>
                <w:rFonts w:ascii="Times New Roman" w:hAnsi="Times New Roman"/>
              </w:rPr>
              <w:t>(1)</w:t>
            </w:r>
          </w:p>
        </w:tc>
      </w:tr>
    </w:tbl>
    <w:p w14:paraId="4BAEC81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22CA29A">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0D3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BDD4CAA">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1" cstate="print"/>
                          <a:srcRect l="3164" t="6153" b="8690"/>
                          <a:stretch>
                            <a:fillRect/>
                          </a:stretch>
                        </pic:blipFill>
                        <pic:spPr>
                          <a:xfrm>
                            <a:off x="0" y="0"/>
                            <a:ext cx="2377440" cy="1567815"/>
                          </a:xfrm>
                          <a:prstGeom prst="rect">
                            <a:avLst/>
                          </a:prstGeom>
                        </pic:spPr>
                      </pic:pic>
                    </a:graphicData>
                  </a:graphic>
                </wp:inline>
              </w:drawing>
            </w:r>
          </w:p>
          <w:p w14:paraId="02685A5B">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B249DB9">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2" cstate="print"/>
                          <a:srcRect/>
                          <a:stretch>
                            <a:fillRect/>
                          </a:stretch>
                        </pic:blipFill>
                        <pic:spPr>
                          <a:xfrm>
                            <a:off x="0" y="0"/>
                            <a:ext cx="2377440" cy="1567815"/>
                          </a:xfrm>
                          <a:prstGeom prst="rect">
                            <a:avLst/>
                          </a:prstGeom>
                        </pic:spPr>
                      </pic:pic>
                    </a:graphicData>
                  </a:graphic>
                </wp:inline>
              </w:drawing>
            </w:r>
          </w:p>
          <w:p w14:paraId="38A170DE">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C41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C72B7CA">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3" cstate="print"/>
                          <a:stretch>
                            <a:fillRect/>
                          </a:stretch>
                        </pic:blipFill>
                        <pic:spPr>
                          <a:xfrm>
                            <a:off x="0" y="0"/>
                            <a:ext cx="2486660" cy="1637665"/>
                          </a:xfrm>
                          <a:prstGeom prst="rect">
                            <a:avLst/>
                          </a:prstGeom>
                        </pic:spPr>
                      </pic:pic>
                    </a:graphicData>
                  </a:graphic>
                </wp:inline>
              </w:drawing>
            </w:r>
          </w:p>
          <w:p w14:paraId="5EDCD483">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14:paraId="15B6D5C0">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0EB11D5">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09ECB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0A788D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D429FA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7464D64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0B87CE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61C97EA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2402AD2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2CD2B9D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91DBB2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483292D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54117607">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3D031948">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5194C51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hint="eastAsia" w:ascii="Times New Roman" w:hAnsi="Times New Roman" w:cs="Times New Roman"/>
          <w:b/>
          <w:bCs/>
          <w:i/>
          <w:iCs/>
          <w:color w:val="808080" w:themeColor="background1" w:themeShade="80"/>
          <w:sz w:val="18"/>
          <w:szCs w:val="18"/>
        </w:rPr>
        <w:t>;</w:t>
      </w:r>
    </w:p>
    <w:p w14:paraId="0AADC4A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6B1D0C9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6DB0A6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3D93475">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A36724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6E9C6B45">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202E18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72D758A0">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70B26FF">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6309DB91">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812F9C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077121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4DD89F14">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069D87F5">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399C4C20">
      <w:pPr>
        <w:widowControl/>
        <w:adjustRightInd w:val="0"/>
        <w:snapToGrid w:val="0"/>
        <w:spacing w:before="156" w:beforeLines="50" w:line="260" w:lineRule="atLeast"/>
        <w:rPr>
          <w:rFonts w:ascii="Times New Roman" w:hAnsi="Times New Roman" w:cs="Times New Roman"/>
          <w:sz w:val="20"/>
          <w:szCs w:val="20"/>
        </w:rPr>
      </w:pPr>
    </w:p>
    <w:p w14:paraId="2E2A1948">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14:paraId="6A5C5DAE">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9105A78">
      <w:pPr>
        <w:widowControl/>
        <w:adjustRightInd w:val="0"/>
        <w:snapToGrid w:val="0"/>
        <w:spacing w:line="260" w:lineRule="atLeast"/>
        <w:rPr>
          <w:rFonts w:ascii="Times New Roman" w:hAnsi="Times New Roman" w:cs="Times New Roman"/>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14:paraId="0CCFD50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16" w:name="_GoBack"/>
      <w:bookmarkEnd w:id="16"/>
      <w:r>
        <w:rPr>
          <w:rFonts w:ascii="Times New Roman" w:hAnsi="Times New Roman" w:eastAsia="宋体" w:cs="Times New Roman"/>
          <w:b/>
          <w:bCs/>
          <w:iCs/>
          <w:color w:val="000000"/>
          <w:kern w:val="0"/>
          <w:sz w:val="22"/>
          <w:szCs w:val="22"/>
        </w:rPr>
        <w:t>Financial support and sponsorship</w:t>
      </w:r>
    </w:p>
    <w:p w14:paraId="79D3439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82D1CE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514C9B4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08C897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79380C23">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392317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3D4E885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3F8049A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19153EF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2D53B6D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0893CA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1D53130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1449358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CBE0D2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20B3C0A">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26</w:t>
      </w:r>
      <w:r>
        <w:rPr>
          <w:rFonts w:ascii="Times New Roman" w:hAnsi="Times New Roman" w:eastAsia="宋体" w:cs="Times New Roman"/>
          <w:color w:val="000000"/>
          <w:kern w:val="0"/>
          <w:sz w:val="20"/>
          <w:szCs w:val="20"/>
        </w:rPr>
        <w:t>.</w:t>
      </w:r>
    </w:p>
    <w:p w14:paraId="7639F198">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EC2CF76">
      <w:pPr>
        <w:adjustRightInd w:val="0"/>
        <w:snapToGrid w:val="0"/>
        <w:spacing w:before="156" w:beforeLines="50" w:after="156" w:afterLines="50" w:line="260" w:lineRule="atLeast"/>
        <w:rPr>
          <w:rFonts w:ascii="Times New Roman" w:hAnsi="Times New Roman" w:cs="Times New Roman"/>
          <w:sz w:val="20"/>
          <w:szCs w:val="20"/>
        </w:rPr>
      </w:pPr>
      <w:bookmarkStart w:id="10" w:name="OLE_LINK16"/>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457895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86862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049A68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4BD554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themeColor="background1" w:themeShade="80"/>
          <w:sz w:val="18"/>
          <w:szCs w:val="18"/>
        </w:rPr>
        <w:t>http://www2.bg.am.poznan.pl/czasopisma/medicus.php?lang=eng</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A379B54">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CA40A7B">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bookmarkStart w:id="11" w:name="OLE_LINK20"/>
      <w:bookmarkStart w:id="12" w:name="OLE_LINK19"/>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07162E7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hint="eastAsia" w:ascii="Times New Roman" w:hAnsi="Times New Roman" w:eastAsia="宋体" w:cs="Times New Roman"/>
          <w:iCs/>
          <w:color w:val="000000"/>
          <w:kern w:val="0"/>
          <w:sz w:val="20"/>
          <w:szCs w:val="20"/>
          <w:lang w:val="en-US" w:eastAsia="zh-CN"/>
        </w:rPr>
        <w:t xml:space="preserve">. </w:t>
      </w:r>
      <w:r>
        <w:rPr>
          <w:rFonts w:ascii="Times New Roman" w:hAnsi="Times New Roman" w:eastAsia="宋体" w:cs="Times New Roman"/>
          <w:color w:val="000000"/>
          <w:kern w:val="0"/>
          <w:sz w:val="20"/>
          <w:szCs w:val="20"/>
        </w:rPr>
        <w:t>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11FDF1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52499BB1">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w:t>
      </w:r>
      <w:bookmarkStart w:id="13" w:name="OLE_LINK7"/>
      <w:bookmarkStart w:id="14" w:name="OLE_LINK8"/>
      <w:r>
        <w:rPr>
          <w:rFonts w:ascii="Times New Roman" w:hAnsi="Times New Roman" w:eastAsia="宋体" w:cs="Times New Roman"/>
          <w:color w:val="000000"/>
          <w:kern w:val="0"/>
          <w:sz w:val="20"/>
          <w:szCs w:val="20"/>
        </w:rPr>
        <w:t>Hypertension, insulin, and proinsulin in participants with impaired glucose tolerance</w:t>
      </w:r>
      <w:bookmarkEnd w:id="13"/>
      <w:bookmarkEnd w:id="14"/>
      <w:r>
        <w:rPr>
          <w:rFonts w:ascii="Times New Roman" w:hAnsi="Times New Roman" w:eastAsia="宋体" w:cs="Times New Roman"/>
          <w:color w:val="000000"/>
          <w:kern w:val="0"/>
          <w:sz w:val="20"/>
          <w:szCs w:val="20"/>
        </w:rPr>
        <w:t>.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123F1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EB4538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16D4B66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BB5F2C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J Appl Clin Pediatr</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293474E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C85A5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0F732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55F44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79433A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CD3936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1CB4938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099A57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B6818C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0EBE6EC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4B5D69E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FF7988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bookmarkEnd w:id="11"/>
    <w:bookmarkEnd w:id="12"/>
    <w:p w14:paraId="5A58D52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05CCA5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488C6D19">
      <w:pPr>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Roboto" w:cs="Times New Roman"/>
          <w:b/>
          <w:bCs/>
          <w:i w:val="0"/>
          <w:iCs w:val="0"/>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w:t>
      </w:r>
    </w:p>
    <w:p w14:paraId="1EF865D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https://resolver.caltech.edu/CaltechTHESIS:05102010-145436548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580142AA">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 in print</w:t>
      </w:r>
    </w:p>
    <w:p w14:paraId="17EB77F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7CAD2CF8">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W</w:t>
      </w:r>
      <w:r>
        <w:rPr>
          <w:rFonts w:hint="default" w:ascii="Times New Roman" w:hAnsi="Times New Roman" w:eastAsia="Roboto" w:cs="Times New Roman"/>
          <w:b/>
          <w:bCs/>
          <w:i/>
          <w:iCs/>
          <w:caps w:val="0"/>
          <w:color w:val="000000"/>
          <w:spacing w:val="0"/>
          <w:sz w:val="20"/>
          <w:szCs w:val="20"/>
          <w:shd w:val="clear" w:color="auto" w:fill="FFFFFF"/>
        </w:rPr>
        <w:t>ebsite</w:t>
      </w:r>
    </w:p>
    <w:p w14:paraId="3E7C66D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https://www.who.int/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1B33CF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N</w:t>
      </w:r>
      <w:r>
        <w:rPr>
          <w:rFonts w:hint="default" w:ascii="Times New Roman" w:hAnsi="Times New Roman" w:eastAsia="Roboto" w:cs="Times New Roman"/>
          <w:b/>
          <w:bCs/>
          <w:i/>
          <w:iCs/>
          <w:caps w:val="0"/>
          <w:color w:val="000000"/>
          <w:spacing w:val="0"/>
          <w:sz w:val="20"/>
          <w:szCs w:val="20"/>
          <w:shd w:val="clear" w:color="auto" w:fill="FFFFFF"/>
        </w:rPr>
        <w:t>ewspaper</w:t>
      </w:r>
    </w:p>
    <w:p w14:paraId="3A559D6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w:t>
      </w:r>
      <w:r>
        <w:rPr>
          <w:rFonts w:hint="eastAsia" w:ascii="Times New Roman" w:hAnsi="Times New Roman" w:eastAsia="宋体" w:cs="Times New Roman"/>
          <w:i/>
          <w:iCs/>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iCs/>
          <w:caps w:val="0"/>
          <w:color w:val="000000"/>
          <w:spacing w:val="0"/>
          <w:sz w:val="20"/>
          <w:szCs w:val="20"/>
          <w:shd w:val="clear" w:color="auto" w:fill="FFFFFF"/>
        </w:rPr>
        <w:t>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https://www.pennlive.com/news/2018/11/school_district_sued_over_burn.html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0070440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D</w:t>
      </w:r>
      <w:r>
        <w:rPr>
          <w:rFonts w:hint="default" w:ascii="Times New Roman" w:hAnsi="Times New Roman" w:eastAsia="Roboto" w:cs="Times New Roman"/>
          <w:b/>
          <w:bCs/>
          <w:i/>
          <w:iCs/>
          <w:caps w:val="0"/>
          <w:color w:val="000000"/>
          <w:spacing w:val="0"/>
          <w:sz w:val="20"/>
          <w:szCs w:val="20"/>
          <w:shd w:val="clear" w:color="auto" w:fill="FFFFFF"/>
        </w:rPr>
        <w:t>atabase</w:t>
      </w:r>
    </w:p>
    <w:p w14:paraId="774DA6B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SpectraBase.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Bio-Rad Laboratories. Available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 xml:space="preserve">from https://spectrabase.com/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90FD3D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P</w:t>
      </w:r>
      <w:r>
        <w:rPr>
          <w:rFonts w:hint="default" w:ascii="Times New Roman" w:hAnsi="Times New Roman" w:eastAsia="Roboto" w:cs="Times New Roman"/>
          <w:b/>
          <w:bCs/>
          <w:i/>
          <w:iCs/>
          <w:caps w:val="0"/>
          <w:color w:val="000000"/>
          <w:spacing w:val="0"/>
          <w:sz w:val="20"/>
          <w:szCs w:val="20"/>
          <w:shd w:val="clear" w:color="auto" w:fill="FFFFFF"/>
        </w:rPr>
        <w:t>atent</w:t>
      </w:r>
    </w:p>
    <w:p w14:paraId="15FC48C5">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034FC994">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aps w:val="0"/>
          <w:color w:val="000000"/>
          <w:spacing w:val="0"/>
          <w:sz w:val="20"/>
          <w:szCs w:val="20"/>
          <w:shd w:val="clear" w:color="auto" w:fill="FFFFFF"/>
        </w:rPr>
        <w:t>Preprint</w:t>
      </w:r>
    </w:p>
    <w:p w14:paraId="3A0DFE1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https://arxiv.org/abs/2401.00044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373B98A2">
      <w:pPr>
        <w:keepNext w:val="0"/>
        <w:keepLines w:val="0"/>
        <w:pageBreakBefore w:val="0"/>
        <w:widowControl/>
        <w:kinsoku/>
        <w:wordWrap/>
        <w:overflowPunct/>
        <w:topLinePunct w:val="0"/>
        <w:autoSpaceDE/>
        <w:autoSpaceDN/>
        <w:bidi w:val="0"/>
        <w:adjustRightInd w:val="0"/>
        <w:snapToGrid w:val="0"/>
        <w:spacing w:line="260" w:lineRule="atLeast"/>
        <w:jc w:val="both"/>
        <w:textAlignment w:val="auto"/>
        <w:rPr>
          <w:rFonts w:ascii="Times New Roman" w:hAnsi="Times New Roman" w:eastAsia="宋体" w:cs="Times New Roman"/>
          <w:color w:val="000000"/>
          <w:kern w:val="0"/>
          <w:sz w:val="20"/>
          <w:szCs w:val="20"/>
        </w:rPr>
      </w:pPr>
    </w:p>
    <w:p w14:paraId="72CC9B55">
      <w:pPr>
        <w:keepNext w:val="0"/>
        <w:keepLines w:val="0"/>
        <w:pageBreakBefore w:val="0"/>
        <w:widowControl/>
        <w:tabs>
          <w:tab w:val="left" w:pos="5094"/>
        </w:tabs>
        <w:kinsoku/>
        <w:wordWrap/>
        <w:overflowPunct/>
        <w:topLinePunct w:val="0"/>
        <w:autoSpaceDE/>
        <w:autoSpaceDN/>
        <w:bidi w:val="0"/>
        <w:adjustRightInd w:val="0"/>
        <w:snapToGrid w:val="0"/>
        <w:spacing w:before="156" w:beforeLines="50" w:after="156" w:afterLines="50" w:line="260" w:lineRule="atLeast"/>
        <w:jc w:val="both"/>
        <w:textAlignment w:val="auto"/>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ascii="Times New Roman" w:hAnsi="Times New Roman" w:eastAsia="宋体" w:cs="Times New Roman"/>
          <w:b/>
          <w:bCs/>
          <w:i/>
          <w:iCs/>
          <w:color w:val="000000"/>
          <w:kern w:val="0"/>
          <w:sz w:val="20"/>
          <w:szCs w:val="20"/>
        </w:rPr>
        <w:t>https://www.nlm.nih.gov/bsd/uniform_requirements.html)</w:t>
      </w:r>
      <w:r>
        <w:rPr>
          <w:rStyle w:val="13"/>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bookmarkEnd w:id="10"/>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C489B">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17C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20A4313">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161C6F4">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"http://www.parjournal.net" </w:instrText>
    </w:r>
    <w:r>
      <w:fldChar w:fldCharType="separate"/>
    </w:r>
    <w:r>
      <w:rPr>
        <w:rStyle w:val="13"/>
        <w:rFonts w:hint="eastAsia"/>
        <w:b/>
        <w:bCs/>
        <w:sz w:val="16"/>
        <w:szCs w:val="16"/>
        <w:u w:val="none"/>
      </w:rPr>
      <w:t>www.parjournal.net</w:t>
    </w:r>
    <w:r>
      <w:rPr>
        <w:rStyle w:val="13"/>
        <w:rFonts w:hint="eastAsia"/>
        <w:b/>
        <w:bCs/>
        <w:sz w:val="16"/>
        <w:szCs w:val="16"/>
        <w:u w:val="none"/>
      </w:rPr>
      <w:fldChar w:fldCharType="end"/>
    </w:r>
  </w:p>
  <w:p w14:paraId="7F7D238E">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5F16">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FB1E">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0BAD">
    <w:pPr>
      <w:pStyle w:val="5"/>
    </w:pPr>
    <w:bookmarkStart w:id="15"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Plast Aesthet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2347-9264</w:t>
    </w:r>
    <w:r>
      <w:rPr>
        <w:rFonts w:ascii="Times New Roman" w:hAnsi="Times New Roman" w:cs="Times New Roman"/>
        <w:sz w:val="16"/>
        <w:szCs w:val="16"/>
      </w:rPr>
      <w:t>.xxxx.xx</w:t>
    </w:r>
    <w:bookmarkEnd w:id="1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-125095</wp:posOffset>
              </wp:positionV>
              <wp:extent cx="2426335" cy="481965"/>
              <wp:effectExtent l="0" t="0" r="0" b="0"/>
              <wp:wrapNone/>
              <wp:docPr id="3"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63C14322">
                          <w:pPr>
                            <w:jc w:val="right"/>
                          </w:pPr>
                          <w:r>
                            <w:rPr>
                              <w:rFonts w:hint="eastAsia" w:ascii="Arial" w:hAnsi="Arial"/>
                              <w:b/>
                              <w:color w:val="003F9A"/>
                              <w:sz w:val="26"/>
                              <w:szCs w:val="26"/>
                            </w:rPr>
                            <w:t xml:space="preserve">          Plastic and Aesthetic Research</w:t>
                          </w:r>
                        </w:p>
                      </w:txbxContent>
                    </wps:txbx>
                    <wps:bodyPr vert="horz" anchor="t" upright="1"/>
                  </wps:wsp>
                </a:graphicData>
              </a:graphic>
            </wp:anchor>
          </w:drawing>
        </mc:Choice>
        <mc:Fallback>
          <w:pict>
            <v:shape id="文本框 4" o:spid="_x0000_s1026" o:spt="202" type="#_x0000_t202" style="position:absolute;left:0pt;margin-left:235.55pt;margin-top:-9.85pt;height:37.95pt;width:191.05pt;z-index:251660288;mso-width-relative:page;mso-height-relative:page;" filled="f" stroked="f" coordsize="21600,21600" o:gfxdata="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nJm3tkAAAAKAQAADwAAAAAAAAABACAAAAAiAAAAZHJz&#10;L2Rvd25yZXYueG1sUEsBAhQAFAAAAAgAh07iQHNb3g7KAQAAfAMAAA4AAAAAAAAAAQAgAAAAKAEA&#10;AGRycy9lMm9Eb2MueG1sUEsFBgAAAAAGAAYAWQEAAGQFAAAAAA==&#10;">
              <v:fill on="f" focussize="0,0"/>
              <v:stroke on="f"/>
              <v:imagedata o:title=""/>
              <o:lock v:ext="edit" aspectratio="f"/>
              <v:textbox>
                <w:txbxContent>
                  <w:p w14:paraId="63C14322">
                    <w:pPr>
                      <w:jc w:val="right"/>
                    </w:pPr>
                    <w:r>
                      <w:rPr>
                        <w:rFonts w:hint="eastAsia" w:ascii="Arial" w:hAnsi="Arial"/>
                        <w:b/>
                        <w:color w:val="003F9A"/>
                        <w:sz w:val="26"/>
                        <w:szCs w:val="26"/>
                      </w:rPr>
                      <w:t xml:space="preserve">          Plastic and Aesthetic Research</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2E3NTNiMjliY2IzMGYzYWNlZTMxNjkzMmE0MWQifQ=="/>
  </w:docVars>
  <w:rsids>
    <w:rsidRoot w:val="00172A27"/>
    <w:rsid w:val="000178BA"/>
    <w:rsid w:val="00030B75"/>
    <w:rsid w:val="0003284A"/>
    <w:rsid w:val="000D5EBD"/>
    <w:rsid w:val="000E021D"/>
    <w:rsid w:val="001522FB"/>
    <w:rsid w:val="00172A27"/>
    <w:rsid w:val="0019510B"/>
    <w:rsid w:val="0027022E"/>
    <w:rsid w:val="00273491"/>
    <w:rsid w:val="00331E76"/>
    <w:rsid w:val="003608FF"/>
    <w:rsid w:val="003B627D"/>
    <w:rsid w:val="003D2452"/>
    <w:rsid w:val="00416D9A"/>
    <w:rsid w:val="00423880"/>
    <w:rsid w:val="00497675"/>
    <w:rsid w:val="004F52CE"/>
    <w:rsid w:val="005570D9"/>
    <w:rsid w:val="00637595"/>
    <w:rsid w:val="00652938"/>
    <w:rsid w:val="00691785"/>
    <w:rsid w:val="006C5808"/>
    <w:rsid w:val="00720864"/>
    <w:rsid w:val="00782BF9"/>
    <w:rsid w:val="007C1447"/>
    <w:rsid w:val="007D1FD5"/>
    <w:rsid w:val="008075EB"/>
    <w:rsid w:val="00842C21"/>
    <w:rsid w:val="00896066"/>
    <w:rsid w:val="008A495C"/>
    <w:rsid w:val="00903C43"/>
    <w:rsid w:val="00921419"/>
    <w:rsid w:val="009B7F19"/>
    <w:rsid w:val="00A05291"/>
    <w:rsid w:val="00A37A37"/>
    <w:rsid w:val="00B0224A"/>
    <w:rsid w:val="00B3154F"/>
    <w:rsid w:val="00B3393B"/>
    <w:rsid w:val="00B42AC5"/>
    <w:rsid w:val="00B74EF5"/>
    <w:rsid w:val="00B90823"/>
    <w:rsid w:val="00BB3538"/>
    <w:rsid w:val="00C5076C"/>
    <w:rsid w:val="00C6365E"/>
    <w:rsid w:val="00CA2500"/>
    <w:rsid w:val="00D16246"/>
    <w:rsid w:val="00DF5C43"/>
    <w:rsid w:val="00E31605"/>
    <w:rsid w:val="00E507C5"/>
    <w:rsid w:val="00EA21CF"/>
    <w:rsid w:val="00EE548B"/>
    <w:rsid w:val="00F37CB8"/>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796B54"/>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C5727D"/>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2D22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577F4"/>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BC2663"/>
    <w:rsid w:val="46C578FC"/>
    <w:rsid w:val="46C63C86"/>
    <w:rsid w:val="46C760CF"/>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9F25CB"/>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05ADC"/>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90F30"/>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9E102B"/>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473532"/>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9336D5"/>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qFormat/>
    <w:uiPriority w:val="0"/>
    <w:pPr>
      <w:numPr>
        <w:ilvl w:val="0"/>
        <w:numId w:val="1"/>
      </w:numPr>
      <w:spacing w:before="0" w:line="260" w:lineRule="atLeast"/>
      <w:ind w:left="425" w:hanging="425"/>
    </w:pPr>
  </w:style>
  <w:style w:type="paragraph" w:customStyle="1" w:styleId="15">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character" w:customStyle="1" w:styleId="25">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2261</Words>
  <Characters>13260</Characters>
  <Lines>105</Lines>
  <Paragraphs>29</Paragraphs>
  <TotalTime>0</TotalTime>
  <ScaleCrop>false</ScaleCrop>
  <LinksUpToDate>false</LinksUpToDate>
  <CharactersWithSpaces>15359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2018-11-26T08:48:00Z</dcterms:created>
  <dc:creator>A</dc:creator>
  <cp:lastModifiedBy>Administrator</cp:lastModifiedBy>
  <dcterms:modified xsi:type="dcterms:W3CDTF">2026-02-04T08:06:05Z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555666CDFEEF4B788D76E59C0224F8CA_13</vt:lpwstr>
  </property>
  <property fmtid="{D5CDD505-2E9C-101B-9397-08002B2CF9AE}" pid="4" name="KSOTemplateDocerSaveRecord">
    <vt:lpwstr>eyJoZGlkIjoiOGFkN2E3NTNiMjliY2IzMGYzYWNlZTMxNjkzMmE0MWQiLCJ1c2VySWQiOiIzMzQxMDU4ODEifQ==</vt:lpwstr>
  </property>
</Properties>
</file>