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B1467">
      <w:pPr>
        <w:adjustRightInd w:val="0"/>
        <w:snapToGrid w:val="0"/>
        <w:spacing w:before="312" w:beforeLines="100"/>
        <w:rPr>
          <w:rFonts w:ascii="Times New Roman" w:hAnsi="Times New Roman" w:cs="Times New Roman"/>
        </w:rPr>
      </w:pPr>
      <w:bookmarkStart w:id="0" w:name="OLE_LINK2"/>
      <w:bookmarkStart w:id="1" w:name="OLE_LINK1"/>
      <w:r>
        <w:rPr>
          <w:rFonts w:hint="eastAsia" w:ascii="Times New Roman" w:hAnsi="Times New Roman" w:cs="Times New Roman"/>
          <w:b/>
          <w:bCs/>
        </w:rPr>
        <w:t>Editorial</w:t>
      </w:r>
    </w:p>
    <w:p w14:paraId="78775D1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656C898">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2" w:name="OLE_LINK6"/>
      <w:r>
        <w:rPr>
          <w:rFonts w:hint="eastAsia" w:ascii="Times New Roman" w:hAnsi="Times New Roman" w:cs="Times New Roman"/>
          <w:b/>
          <w:bCs/>
          <w:i/>
          <w:iCs/>
          <w:color w:val="808080" w:themeColor="background1" w:themeShade="80"/>
          <w:sz w:val="18"/>
          <w:szCs w:val="18"/>
        </w:rPr>
        <w:t>No abbreviation</w:t>
      </w:r>
      <w:bookmarkEnd w:id="2"/>
      <w:r>
        <w:rPr>
          <w:rFonts w:hint="eastAsia" w:ascii="Times New Roman" w:hAnsi="Times New Roman" w:cs="Times New Roman"/>
          <w:b/>
          <w:bCs/>
          <w:i/>
          <w:iCs/>
          <w:color w:val="808080" w:themeColor="background1" w:themeShade="80"/>
          <w:sz w:val="18"/>
          <w:szCs w:val="18"/>
        </w:rPr>
        <w:t xml:space="preserve">s </w:t>
      </w:r>
      <w:bookmarkStart w:id="3" w:name="OLE_LINK4"/>
      <w:r>
        <w:rPr>
          <w:rFonts w:hint="eastAsia" w:ascii="Times New Roman" w:hAnsi="Times New Roman" w:cs="Times New Roman"/>
          <w:b/>
          <w:bCs/>
          <w:i/>
          <w:iCs/>
          <w:color w:val="808080" w:themeColor="background1" w:themeShade="80"/>
          <w:sz w:val="18"/>
          <w:szCs w:val="18"/>
        </w:rPr>
        <w:t>except for standardized ones</w:t>
      </w:r>
      <w:bookmarkEnd w:id="3"/>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3A2AA3E">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86406D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6553CF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F0CDF8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4DD248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8D385CB">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CBEEC73">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12C1694F">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DDBBCA0">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1"/>
          <w:rFonts w:hint="eastAsia" w:ascii="Times New Roman" w:hAnsi="Times New Roman"/>
          <w:b/>
          <w:bCs/>
          <w:i/>
          <w:color w:val="808080" w:themeColor="background1" w:themeShade="80"/>
          <w:sz w:val="18"/>
          <w:szCs w:val="18"/>
        </w:rPr>
        <w:t>par_editor001@parjournal.net</w:t>
      </w:r>
      <w:r>
        <w:rPr>
          <w:rStyle w:val="11"/>
          <w:rFonts w:hint="eastAsia"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26EA0E46">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63F662F">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11ECC3C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3646537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85E4B90">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6CA4191A">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65C26CC">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15AFF9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D822AEA">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2C8B6C6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4A2D55D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3DFCDAF">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64B4149">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24BB9AB">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8B6404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1D355C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D20DBF8">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564AF51">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3EC332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E9B99A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5B5AADD">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6F1BF5E">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4782B2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171EA2A7">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43C96B1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087F6C38">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7DDAF59D">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17BBA49A">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78AE56AC">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2CF955A">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F33D10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5568D755">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704AB375">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413FFA2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4212D37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5915D786">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0F99CB2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1E10B526">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AFFD5A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78E0092">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1F4EE3C7">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39C9028D">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0977A18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11E6AAA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13D9328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8F26FE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2A77A9C">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49901E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5623ADC">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56CE9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68448E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5C753A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815094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F2D676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06D481D">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EAE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ADC086B">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960C039">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0F3C5E1">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6A5E9660">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209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CBECCDA">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63C675">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79D5458">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2BE1859">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25FF25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22F7A6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DF26F0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6475ADB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0EA5F2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07BEF6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B4A61D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B21CA0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06BF71A">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6C7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BADACB3">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4C1B4593">
            <w:pPr>
              <w:pStyle w:val="24"/>
              <w:spacing w:line="260" w:lineRule="atLeast"/>
              <w:jc w:val="center"/>
              <w:rPr>
                <w:rFonts w:ascii="Times New Roman" w:hAnsi="Times New Roman"/>
              </w:rPr>
            </w:pPr>
            <w:r>
              <w:rPr>
                <w:rFonts w:ascii="Times New Roman" w:hAnsi="Times New Roman"/>
              </w:rPr>
              <w:t>(1)</w:t>
            </w:r>
          </w:p>
        </w:tc>
      </w:tr>
    </w:tbl>
    <w:p w14:paraId="7F7F428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CE1E468">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31D7307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F92ECD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59DA67F">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11D724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B81ADC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BC0187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A23B064">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19FCA4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528996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F5AA18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8FCBFE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AA1AC4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56AE3BB">
      <w:pPr>
        <w:widowControl/>
        <w:adjustRightInd w:val="0"/>
        <w:snapToGrid w:val="0"/>
        <w:spacing w:before="156" w:beforeLines="50" w:line="260" w:lineRule="atLeast"/>
        <w:rPr>
          <w:rFonts w:ascii="Times New Roman" w:hAnsi="Times New Roman" w:cs="Times New Roman"/>
          <w:sz w:val="20"/>
          <w:szCs w:val="20"/>
        </w:rPr>
      </w:pPr>
    </w:p>
    <w:p w14:paraId="2E2A1948">
      <w:pPr>
        <w:widowControl/>
        <w:adjustRightInd w:val="0"/>
        <w:snapToGrid w:val="0"/>
        <w:spacing w:line="260" w:lineRule="atLeast"/>
        <w:rPr>
          <w:rFonts w:hint="default" w:ascii="Times New Roman" w:hAnsi="Times New Roman" w:eastAsia="宋体" w:cs="Times New Roman"/>
          <w:kern w:val="0"/>
          <w:sz w:val="20"/>
          <w:szCs w:val="20"/>
        </w:rPr>
      </w:pPr>
      <w:bookmarkStart w:id="13" w:name="_GoBack"/>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1118047F">
      <w:pPr>
        <w:widowControl/>
        <w:adjustRightInd w:val="0"/>
        <w:snapToGrid w:val="0"/>
        <w:spacing w:line="260" w:lineRule="atLeast"/>
        <w:rPr>
          <w:rFonts w:ascii="Times New Roman" w:hAnsi="Times New Roman" w:cs="Times New Roman"/>
          <w:sz w:val="20"/>
          <w:szCs w:val="20"/>
        </w:rPr>
      </w:pPr>
      <w:r>
        <w:rPr>
          <w:rFonts w:hint="default" w:ascii="Times New Roman" w:hAnsi="Times New Roman" w:eastAsia="宋体" w:cs="Times New Roman"/>
          <w:kern w:val="0"/>
          <w:sz w:val="20"/>
          <w:szCs w:val="20"/>
        </w:rPr>
        <w:t>If the manuscript does not involve this issue, state “Not applicable.” in this section.</w:t>
      </w:r>
    </w:p>
    <w:bookmarkEnd w:id="13"/>
    <w:p w14:paraId="1E95423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875FDE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870C60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BCBA59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2A925C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8565E46">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E0322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5869AB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9A2134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775B259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22461B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F84D7B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5A1D1A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08BF57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B7C119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DA1C6C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lang w:val="en-US" w:eastAsia="zh-CN"/>
        </w:rPr>
        <w:t>2026</w:t>
      </w:r>
      <w:r>
        <w:rPr>
          <w:rFonts w:ascii="Times New Roman" w:hAnsi="Times New Roman" w:eastAsia="宋体" w:cs="Times New Roman"/>
          <w:color w:val="000000"/>
          <w:kern w:val="0"/>
          <w:sz w:val="20"/>
          <w:szCs w:val="20"/>
        </w:rPr>
        <w:t>.</w:t>
      </w:r>
    </w:p>
    <w:p w14:paraId="04012D5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
    <w:p w14:paraId="3EC2CF7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themeColor="background1" w:themeShade="80"/>
          <w:sz w:val="18"/>
          <w:szCs w:val="18"/>
        </w:rPr>
        <w:t>http://www2.bg.am.poznan.pl/czasopisma/medicus.php?lang=eng</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8" w:name="OLE_LINK19"/>
      <w:bookmarkStart w:id="9" w:name="OLE_LINK20"/>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0" w:name="OLE_LINK7"/>
      <w:bookmarkStart w:id="11" w:name="OLE_LINK8"/>
      <w:r>
        <w:rPr>
          <w:rFonts w:ascii="Times New Roman" w:hAnsi="Times New Roman" w:eastAsia="宋体" w:cs="Times New Roman"/>
          <w:color w:val="000000"/>
          <w:kern w:val="0"/>
          <w:sz w:val="20"/>
          <w:szCs w:val="20"/>
        </w:rPr>
        <w:t>Hypertension, insulin, and proinsulin in participants with impaired glucose tolerance</w:t>
      </w:r>
      <w:bookmarkEnd w:id="10"/>
      <w:bookmarkEnd w:id="11"/>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8"/>
    <w:bookmarkEnd w:id="9"/>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093A34D4">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4FF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0E8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9293D4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C0F43AE">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3"/>
        <w:rFonts w:hint="eastAsia"/>
        <w:b/>
        <w:bCs/>
        <w:sz w:val="16"/>
        <w:szCs w:val="16"/>
        <w:u w:val="none"/>
      </w:rPr>
      <w:t>www.parjournal.net</w:t>
    </w:r>
    <w:r>
      <w:rPr>
        <w:rStyle w:val="13"/>
        <w:rFonts w:hint="eastAsia"/>
        <w:b/>
        <w:bCs/>
        <w:sz w:val="16"/>
        <w:szCs w:val="16"/>
        <w:u w:val="none"/>
      </w:rPr>
      <w:fldChar w:fldCharType="end"/>
    </w:r>
  </w:p>
  <w:p w14:paraId="29BD6276">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6BF8">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64FE">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8CA6">
    <w:pPr>
      <w:pStyle w:val="5"/>
    </w:pPr>
    <w:bookmarkStart w:id="12"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2"/>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578101ED">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Holc3XKAQAAfAMAAA4AAABkcnMvZTJvRG9jLnhtbK1T&#10;wW4bIRC9V+o/IO4x9sa2kpXXkSIrvVRJpbQfgFnWiwQMAuxd9wOSP+ipl977Xf6ODuzGjdJLDr3A&#10;MDO8mfcGVje90eQgfVBgKzqbTCmRVkCt7K6i377eXVxREiK3NddgZUWPMtCb9ccPq86VsoAWdC09&#10;QRAbys5VtI3RlYwF0UrDwwSctBhswBse8eh3rPa8Q3SjWTGdLlkHvnYehAwBvZshSEdE/x5AaBol&#10;5AbE3kgbB1QvNY9IKbTKBbrO3TaNFPGhaYKMRFcUmca8YhG0t2ll6xUvd567VomxBf6eFt5wMlxZ&#10;LHqG2vDIyd6rf6CMEh4CNHEiwLCBSFYEWcymb7R5bLmTmQtKHdxZ9PD/YMX94Ysnqq5oQYnlBgd+&#10;+vF8+vn79OuJzJM8nQslZj06zIv9LfT4aF78AZ2Jdd94k3bkQzCO4h7P4so+EoHOYl4sLy8XlAiM&#10;za9m18tFgmF/bzsf4icJhiSjoh6HlzXlh88hDqkvKamYhTuldR6gtqSr6PWiWOQL5wiCa5tyZX4K&#10;I0xiNHSerNhv+5HmFuojssTPgeVb8N8p4VagUdFIyd55tWsxkumzdBeHkhmMDyhN/fUZ7defZ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Holc3XKAQAAfAMAAA4AAAAAAAAAAQAgAAAAKAEA&#10;AGRycy9lMm9Eb2MueG1sUEsFBgAAAAAGAAYAWQEAAGQFAAAAAA==&#10;">
              <v:fill on="f" focussize="0,0"/>
              <v:stroke on="f"/>
              <v:imagedata o:title=""/>
              <o:lock v:ext="edit" aspectratio="f"/>
              <v:textbox>
                <w:txbxContent>
                  <w:p w14:paraId="578101ED">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78BA"/>
    <w:rsid w:val="00030B75"/>
    <w:rsid w:val="0003284A"/>
    <w:rsid w:val="000B137A"/>
    <w:rsid w:val="000D5EBD"/>
    <w:rsid w:val="000E1391"/>
    <w:rsid w:val="00172A27"/>
    <w:rsid w:val="0019510B"/>
    <w:rsid w:val="00273491"/>
    <w:rsid w:val="00321A26"/>
    <w:rsid w:val="00331E76"/>
    <w:rsid w:val="003608FF"/>
    <w:rsid w:val="003B627D"/>
    <w:rsid w:val="00423880"/>
    <w:rsid w:val="00497675"/>
    <w:rsid w:val="004F52CE"/>
    <w:rsid w:val="00532349"/>
    <w:rsid w:val="005570D9"/>
    <w:rsid w:val="00585F47"/>
    <w:rsid w:val="005B354E"/>
    <w:rsid w:val="00637595"/>
    <w:rsid w:val="006F05B2"/>
    <w:rsid w:val="0073725E"/>
    <w:rsid w:val="007D1FD5"/>
    <w:rsid w:val="008075EB"/>
    <w:rsid w:val="00842C21"/>
    <w:rsid w:val="008731C6"/>
    <w:rsid w:val="008A495C"/>
    <w:rsid w:val="008B06A8"/>
    <w:rsid w:val="008F65A3"/>
    <w:rsid w:val="008F6F92"/>
    <w:rsid w:val="00921419"/>
    <w:rsid w:val="009F7926"/>
    <w:rsid w:val="00A37A37"/>
    <w:rsid w:val="00B42AC5"/>
    <w:rsid w:val="00B74EF5"/>
    <w:rsid w:val="00B966BB"/>
    <w:rsid w:val="00BB3538"/>
    <w:rsid w:val="00C5076C"/>
    <w:rsid w:val="00C6365E"/>
    <w:rsid w:val="00CA2500"/>
    <w:rsid w:val="00CC6E1F"/>
    <w:rsid w:val="00D16246"/>
    <w:rsid w:val="00DF5C43"/>
    <w:rsid w:val="00E31605"/>
    <w:rsid w:val="00E42F36"/>
    <w:rsid w:val="00EA21CF"/>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B03FF"/>
    <w:rsid w:val="015F2D33"/>
    <w:rsid w:val="01601402"/>
    <w:rsid w:val="01645AF4"/>
    <w:rsid w:val="01651296"/>
    <w:rsid w:val="01681866"/>
    <w:rsid w:val="01684FA3"/>
    <w:rsid w:val="0169118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6614D"/>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673EE"/>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E5C36"/>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2D5D"/>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227A0"/>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904C17"/>
    <w:rsid w:val="34A83CB4"/>
    <w:rsid w:val="34B1358C"/>
    <w:rsid w:val="34B54008"/>
    <w:rsid w:val="34B83C75"/>
    <w:rsid w:val="34BA3810"/>
    <w:rsid w:val="34BA7A31"/>
    <w:rsid w:val="34BB2DC8"/>
    <w:rsid w:val="34C06601"/>
    <w:rsid w:val="34C10A6E"/>
    <w:rsid w:val="34D243BB"/>
    <w:rsid w:val="34D408C1"/>
    <w:rsid w:val="34D55E94"/>
    <w:rsid w:val="34D6782E"/>
    <w:rsid w:val="34DF0592"/>
    <w:rsid w:val="34EB6845"/>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C6B6B"/>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4F1C02"/>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73250"/>
    <w:rsid w:val="542B0114"/>
    <w:rsid w:val="544B67E2"/>
    <w:rsid w:val="544D2AA5"/>
    <w:rsid w:val="54504EA3"/>
    <w:rsid w:val="545C27FD"/>
    <w:rsid w:val="5465314C"/>
    <w:rsid w:val="54657C4C"/>
    <w:rsid w:val="54687FB2"/>
    <w:rsid w:val="5470540A"/>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67837"/>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84E9D"/>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74CC3"/>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442048"/>
        <c:axId val="157121856"/>
      </c:barChart>
      <c:catAx>
        <c:axId val="2374420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121856"/>
        <c:crosses val="autoZero"/>
        <c:auto val="1"/>
        <c:lblAlgn val="ctr"/>
        <c:lblOffset val="100"/>
        <c:tickLblSkip val="1"/>
        <c:noMultiLvlLbl val="0"/>
      </c:catAx>
      <c:valAx>
        <c:axId val="15712185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442048"/>
        <c:crosses val="autoZero"/>
        <c:crossBetween val="between"/>
      </c:valAx>
      <c:spPr>
        <a:noFill/>
        <a:ln>
          <a:noFill/>
        </a:ln>
        <a:effectLst/>
      </c:spPr>
    </c:plotArea>
    <c:plotVisOnly val="1"/>
    <c:dispBlanksAs val="gap"/>
    <c:showDLblsOverMax val="0"/>
    <c:extLst>
      <c:ext uri="{0b15fc19-7d7d-44ad-8c2d-2c3a37ce22c3}">
        <chartProps xmlns="https://web.wps.cn/et/2018/main" chartId="{1fbba2dd-899d-4d33-89af-a8c41395e91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1848</Words>
  <Characters>10987</Characters>
  <Lines>85</Lines>
  <Paragraphs>24</Paragraphs>
  <TotalTime>0</TotalTime>
  <ScaleCrop>false</ScaleCrop>
  <LinksUpToDate>false</LinksUpToDate>
  <CharactersWithSpaces>12686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2018-11-26T08:44:00Z</dcterms:created>
  <dc:creator>A</dc:creator>
  <cp:lastModifiedBy>Administrator</cp:lastModifiedBy>
  <dcterms:modified xsi:type="dcterms:W3CDTF">2026-02-04T08:04:50Z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F76575E3C46F4A508DA40021D14A6C05_13</vt:lpwstr>
  </property>
  <property fmtid="{D5CDD505-2E9C-101B-9397-08002B2CF9AE}" pid="4" name="KSOTemplateDocerSaveRecord">
    <vt:lpwstr>eyJoZGlkIjoiOGFkN2E3NTNiMjliY2IzMGYzYWNlZTMxNjkzMmE0MWQiLCJ1c2VySWQiOiIzMzQxMDU4ODEifQ==</vt:lpwstr>
  </property>
</Properties>
</file>