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4E5BD" w14:textId="7F021E77" w:rsidR="006278A8" w:rsidRDefault="00ED6F49" w:rsidP="00296113">
      <w:pPr>
        <w:adjustRightInd w:val="0"/>
        <w:snapToGrid w:val="0"/>
        <w:spacing w:beforeLines="100" w:before="312"/>
        <w:rPr>
          <w:rFonts w:ascii="Times New Roman" w:hAnsi="Times New Roman" w:cs="Times New Roman"/>
        </w:rPr>
      </w:pPr>
      <w:r>
        <w:rPr>
          <w:rFonts w:ascii="Times New Roman" w:hAnsi="Times New Roman" w:cs="Times New Roman"/>
          <w:b/>
          <w:bCs/>
        </w:rPr>
        <w:t>Original Article</w:t>
      </w:r>
    </w:p>
    <w:p w14:paraId="47DE66F1" w14:textId="77777777" w:rsidR="006278A8" w:rsidRDefault="00ED6F49" w:rsidP="00296113">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A1FF8E1" w14:textId="77777777" w:rsidR="006278A8" w:rsidRDefault="00ED6F49">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79B9498" w14:textId="77777777" w:rsidR="006278A8" w:rsidRDefault="00ED6F49" w:rsidP="00296113">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26A088A7" w14:textId="77777777" w:rsidR="006278A8" w:rsidRDefault="00ED6F49" w:rsidP="00296113">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7A724D7" w14:textId="77777777" w:rsidR="006278A8" w:rsidRDefault="00ED6F49">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23D3275" w14:textId="77777777" w:rsidR="006278A8" w:rsidRDefault="00ED6F49">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0C59123" w14:textId="77777777" w:rsidR="006278A8" w:rsidRDefault="00ED6F49" w:rsidP="00296113">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65DD55E" w14:textId="77777777" w:rsidR="006278A8" w:rsidRDefault="00ED6F49" w:rsidP="00296113">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14:paraId="28CF2EF9" w14:textId="77777777" w:rsidR="006278A8" w:rsidRDefault="00ED6F49">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bookmarkEnd w:id="2"/>
    <w:p w14:paraId="2F49C64C"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3C492228" w14:textId="77777777" w:rsidR="006278A8" w:rsidRDefault="00ED6F49" w:rsidP="00296113">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e"/>
            <w:rFonts w:ascii="Times New Roman" w:hAnsi="Times New Roman" w:cs="Times New Roman"/>
            <w:b/>
            <w:bCs/>
            <w:i/>
            <w:color w:val="003F9A"/>
            <w:sz w:val="18"/>
            <w:szCs w:val="18"/>
          </w:rPr>
          <w:t>editorial office</w:t>
        </w:r>
      </w:hyperlink>
      <w:r>
        <w:rPr>
          <w:rFonts w:ascii="Times New Roman" w:hAnsi="Times New Roman" w:cs="Times New Roman"/>
          <w:b/>
          <w:bCs/>
          <w:i/>
          <w:color w:val="808080" w:themeColor="background1" w:themeShade="80"/>
          <w:sz w:val="18"/>
          <w:szCs w:val="18"/>
        </w:rPr>
        <w:t>.</w:t>
      </w:r>
    </w:p>
    <w:p w14:paraId="5CB03C7C" w14:textId="77777777" w:rsidR="006278A8" w:rsidRDefault="00ED6F49" w:rsidP="00296113">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00D46B9" w14:textId="77777777" w:rsidR="006278A8" w:rsidRDefault="00ED6F49">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85F13B4" w14:textId="77777777" w:rsidR="006278A8" w:rsidRDefault="00ED6F49" w:rsidP="00296113">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0283BAD5" w14:textId="77777777" w:rsidR="006278A8" w:rsidRDefault="00ED6F49" w:rsidP="00296113">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2A33A13" w14:textId="77777777" w:rsidR="006278A8" w:rsidRDefault="00ED6F49" w:rsidP="00296113">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AF7A354" w14:textId="77777777" w:rsidR="006278A8" w:rsidRDefault="00ED6F49" w:rsidP="00296113">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9418F61" w14:textId="77777777" w:rsidR="006278A8" w:rsidRDefault="00ED6F49" w:rsidP="00296113">
      <w:pPr>
        <w:adjustRightInd w:val="0"/>
        <w:snapToGrid w:val="0"/>
        <w:spacing w:beforeLines="100" w:before="312" w:line="260" w:lineRule="atLeast"/>
        <w:rPr>
          <w:rFonts w:ascii="Times New Roman" w:hAnsi="Times New Roman" w:cs="Times New Roman"/>
          <w:sz w:val="20"/>
          <w:szCs w:val="20"/>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326491D" w14:textId="77777777" w:rsidR="006278A8" w:rsidRDefault="00ED6F49">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7ECFC54F"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03D1577F"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11656EA"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21111631"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278D1EB5"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BDFD57A" w14:textId="77777777" w:rsidR="006278A8" w:rsidRDefault="00ED6F49">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050D8D5A"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73F47C0D" w14:textId="77777777" w:rsidR="006278A8" w:rsidRDefault="00ED6F49">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0547EE12" w14:textId="77777777" w:rsidR="006278A8" w:rsidRDefault="00ED6F49" w:rsidP="00296113">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384D905" w14:textId="77777777" w:rsidR="006278A8" w:rsidRDefault="00ED6F49" w:rsidP="00296113">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A865C4D" w14:textId="77777777" w:rsidR="006278A8" w:rsidRDefault="00ED6F49" w:rsidP="00296113">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e"/>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F8FB463"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27081F92"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1"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7DAFE333" w14:textId="77777777" w:rsidR="006278A8" w:rsidRDefault="00ED6F49" w:rsidP="00296113">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FAC2073" w14:textId="77777777" w:rsidR="006278A8" w:rsidRDefault="00ED6F49" w:rsidP="00296113">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965BE9B" w14:textId="77777777" w:rsidR="006278A8" w:rsidRDefault="00ED6F49" w:rsidP="00296113">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F4E308C" w14:textId="77777777" w:rsidR="006278A8" w:rsidRDefault="00ED6F49" w:rsidP="00296113">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6278A8" w14:paraId="467ED369" w14:textId="77777777" w:rsidTr="006278A8">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75A96ECE" w14:textId="77777777" w:rsidR="006278A8" w:rsidRDefault="00ED6F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14:paraId="000CD019" w14:textId="77777777" w:rsidR="006278A8" w:rsidRDefault="00ED6F49">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14:paraId="0697FAEB" w14:textId="77777777" w:rsidR="006278A8" w:rsidRDefault="00ED6F49">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14:paraId="0F81C6D1" w14:textId="77777777" w:rsidR="006278A8" w:rsidRDefault="00ED6F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14:paraId="00B4FEF7" w14:textId="77777777" w:rsidR="006278A8" w:rsidRDefault="00ED6F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14:paraId="3AA5EC24" w14:textId="77777777" w:rsidR="006278A8" w:rsidRDefault="00ED6F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14:paraId="0A610162" w14:textId="77777777" w:rsidR="006278A8" w:rsidRDefault="00ED6F49">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6278A8" w14:paraId="766608D7" w14:textId="77777777" w:rsidTr="006278A8">
        <w:trPr>
          <w:trHeight w:val="611"/>
        </w:trPr>
        <w:tc>
          <w:tcPr>
            <w:tcW w:w="1543" w:type="dxa"/>
          </w:tcPr>
          <w:p w14:paraId="0A812F93" w14:textId="77777777" w:rsidR="006278A8" w:rsidRDefault="00ED6F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14:paraId="190AD85F"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14:paraId="501B704E" w14:textId="77777777" w:rsidR="006278A8" w:rsidRDefault="00ED6F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14:paraId="47B0383A"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14:paraId="4E69E562"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14:paraId="4F91B20C"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14:paraId="23686136"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6278A8" w14:paraId="3444C43C" w14:textId="77777777" w:rsidTr="006278A8">
        <w:trPr>
          <w:trHeight w:val="301"/>
        </w:trPr>
        <w:tc>
          <w:tcPr>
            <w:tcW w:w="1543" w:type="dxa"/>
          </w:tcPr>
          <w:p w14:paraId="436E1119" w14:textId="77777777" w:rsidR="006278A8" w:rsidRDefault="00ED6F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14:paraId="7092C29F" w14:textId="77777777" w:rsidR="006278A8" w:rsidRDefault="00ED6F49">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14:paraId="49414619"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14:paraId="682AFC21"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14:paraId="54177007"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14:paraId="2231A7EB"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14:paraId="6603A102"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6278A8" w14:paraId="21DB3A58" w14:textId="77777777" w:rsidTr="006278A8">
        <w:trPr>
          <w:trHeight w:val="629"/>
        </w:trPr>
        <w:tc>
          <w:tcPr>
            <w:tcW w:w="1543" w:type="dxa"/>
          </w:tcPr>
          <w:p w14:paraId="4D290AF6"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14:paraId="3A965F0D" w14:textId="77777777" w:rsidR="006278A8" w:rsidRDefault="00ED6F49">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14:paraId="35C94DD7" w14:textId="77777777" w:rsidR="006278A8" w:rsidRDefault="00ED6F49">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14:paraId="06BBFBF6"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14:paraId="74BDD173"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14:paraId="311914C0"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14:paraId="2A3DD9DA" w14:textId="77777777" w:rsidR="006278A8" w:rsidRDefault="00ED6F49">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7259F3A5" w14:textId="77777777" w:rsidR="006278A8" w:rsidRDefault="00ED6F49">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7FE4EB30" w14:textId="77777777" w:rsidR="006278A8" w:rsidRDefault="00ED6F49" w:rsidP="00296113">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C1F8029" w14:textId="77777777" w:rsidR="006278A8" w:rsidRDefault="00ED6F49" w:rsidP="00296113">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F8451C7" w14:textId="77777777" w:rsidR="006278A8" w:rsidRDefault="00ED6F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The table caption should be placed above the table and labeled sequentially (e.g., Table 1, Table 2);</w:t>
      </w:r>
    </w:p>
    <w:p w14:paraId="02421191" w14:textId="77777777" w:rsidR="006278A8" w:rsidRDefault="00ED6F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BA8AC16" w14:textId="77777777" w:rsidR="006278A8" w:rsidRDefault="00ED6F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0DE9B9D" w14:textId="77777777" w:rsidR="006278A8" w:rsidRDefault="00ED6F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704BBCB" w14:textId="77777777" w:rsidR="006278A8" w:rsidRDefault="00ED6F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5BA5017C" w14:textId="77777777" w:rsidR="006278A8" w:rsidRDefault="00ED6F49" w:rsidP="00296113">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6278A8" w14:paraId="47D0C83E" w14:textId="77777777">
        <w:trPr>
          <w:jc w:val="center"/>
        </w:trPr>
        <w:tc>
          <w:tcPr>
            <w:tcW w:w="8409" w:type="dxa"/>
          </w:tcPr>
          <w:p w14:paraId="6436C85D" w14:textId="77777777" w:rsidR="006278A8" w:rsidRDefault="00ED6F49">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07893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675509162" r:id="rId13"/>
              </w:object>
            </w:r>
          </w:p>
        </w:tc>
        <w:tc>
          <w:tcPr>
            <w:tcW w:w="435" w:type="dxa"/>
            <w:vAlign w:val="center"/>
          </w:tcPr>
          <w:p w14:paraId="24B17B38" w14:textId="77777777" w:rsidR="006278A8" w:rsidRDefault="00ED6F49">
            <w:pPr>
              <w:pStyle w:val="MDPI3aequationnumber"/>
              <w:spacing w:line="260" w:lineRule="atLeast"/>
              <w:jc w:val="center"/>
              <w:rPr>
                <w:rFonts w:ascii="Times New Roman" w:hAnsi="Times New Roman"/>
              </w:rPr>
            </w:pPr>
            <w:r>
              <w:rPr>
                <w:rFonts w:ascii="Times New Roman" w:hAnsi="Times New Roman"/>
              </w:rPr>
              <w:t>(1)</w:t>
            </w:r>
          </w:p>
        </w:tc>
      </w:tr>
    </w:tbl>
    <w:p w14:paraId="2F9ED581" w14:textId="77777777" w:rsidR="006278A8" w:rsidRDefault="00ED6F49" w:rsidP="00296113">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B718DAD" w14:textId="77777777" w:rsidR="006278A8" w:rsidRDefault="00ED6F49" w:rsidP="00296113">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6278A8" w14:paraId="4BE17073" w14:textId="77777777">
        <w:tc>
          <w:tcPr>
            <w:tcW w:w="4422" w:type="dxa"/>
          </w:tcPr>
          <w:p w14:paraId="4E55218E" w14:textId="77777777" w:rsidR="006278A8" w:rsidRDefault="00ED6F49">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3534C55E" wp14:editId="448466B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2F51A3B" w14:textId="77777777" w:rsidR="006278A8" w:rsidRDefault="00ED6F49" w:rsidP="00296113">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FFC1482" w14:textId="77777777" w:rsidR="006278A8" w:rsidRDefault="00ED6F49">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66448FA" wp14:editId="70506CE5">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04ABBF95" w14:textId="77777777" w:rsidR="006278A8" w:rsidRDefault="00ED6F49" w:rsidP="00296113">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6278A8" w14:paraId="0FDED872" w14:textId="77777777">
        <w:tc>
          <w:tcPr>
            <w:tcW w:w="8844" w:type="dxa"/>
            <w:gridSpan w:val="2"/>
          </w:tcPr>
          <w:p w14:paraId="22A3C3E5" w14:textId="77777777" w:rsidR="006278A8" w:rsidRDefault="00ED6F49">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586E715F" wp14:editId="20001DC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9EF30B" w14:textId="77777777" w:rsidR="006278A8" w:rsidRDefault="00ED6F49">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322532B"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6DD9CF3" w14:textId="77777777" w:rsidR="006278A8" w:rsidRDefault="00ED6F49" w:rsidP="00296113">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EDAC15C"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938D145"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3C11ECF"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22C79D67"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EEE46B7"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explained in the legend; </w:t>
      </w:r>
    </w:p>
    <w:p w14:paraId="761BD390"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4902989"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499627BD"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07F55A1"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004BE68"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6109691B"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41121C08" w14:textId="77777777" w:rsidR="006278A8" w:rsidRDefault="00ED6F49" w:rsidP="00296113">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ECA35F8"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5E856DD8"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3FD3CFF6" w14:textId="77777777" w:rsidR="006278A8" w:rsidRDefault="00ED6F49" w:rsidP="00296113">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BDDD7B3"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48A8C4DE" w14:textId="77777777" w:rsidR="006278A8" w:rsidRDefault="00ED6F49">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7"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D95667F"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3789D48E"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DAC0AD3" w14:textId="77777777" w:rsidR="006278A8" w:rsidRDefault="00ED6F4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C28262F"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7B4D9144" w14:textId="77777777" w:rsidR="006278A8" w:rsidRDefault="00ED6F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69CAE6BF" w14:textId="77777777" w:rsidR="006278A8" w:rsidRDefault="00ED6F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8030FC5" w14:textId="77777777" w:rsidR="006278A8" w:rsidRDefault="00ED6F4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1880BF00"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1E2C32F3" w14:textId="77777777" w:rsidR="006278A8" w:rsidRDefault="00ED6F49" w:rsidP="00296113">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0AB66DA" w14:textId="77777777" w:rsidR="006278A8" w:rsidRDefault="00ED6F49" w:rsidP="00296113">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6A95731D"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26E090A" w14:textId="77777777" w:rsidR="006278A8" w:rsidRDefault="00ED6F49">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525D6E84" w14:textId="77777777" w:rsidR="006278A8" w:rsidRDefault="00ED6F4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lastRenderedPageBreak/>
        <w:t xml:space="preserve">This work was supported by Grant name XX (No. XXXX; No. </w:t>
      </w:r>
      <w:proofErr w:type="gramStart"/>
      <w:r>
        <w:rPr>
          <w:rFonts w:ascii="Times New Roman" w:hAnsi="Times New Roman" w:cs="Times New Roman"/>
          <w:iCs/>
          <w:sz w:val="20"/>
          <w:szCs w:val="20"/>
        </w:rPr>
        <w:t>XXX)...</w:t>
      </w:r>
      <w:proofErr w:type="gramEnd"/>
    </w:p>
    <w:p w14:paraId="6565AC66"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893ABDC" w14:textId="77777777" w:rsidR="006278A8" w:rsidRDefault="00ED6F49">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2434D27E"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97BEEC3"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2837127"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798B57E"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487771D3"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18"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29567755"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752CBCE3"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19" w:history="1">
        <w:r>
          <w:rPr>
            <w:rStyle w:val="ae"/>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50573578"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0"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w:t>
      </w:r>
    </w:p>
    <w:p w14:paraId="3CAB10BD"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09ADFBD4"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72A2AD55" w14:textId="77777777" w:rsidR="006278A8" w:rsidRDefault="00ED6F4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5E0945B"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73A85846" w14:textId="77777777" w:rsidR="006278A8" w:rsidRDefault="00ED6F49" w:rsidP="00296113">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1C4F60E1" w14:textId="77777777" w:rsidR="006278A8" w:rsidRDefault="00ED6F49">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2C445D80" w14:textId="77777777" w:rsidR="006278A8" w:rsidRDefault="00ED6F49" w:rsidP="00296113">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5C3AF19" w14:textId="77777777" w:rsidR="006278A8" w:rsidRDefault="00ED6F49" w:rsidP="00296113">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F212361"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45571D26"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3A061DA3"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17ABC019" w14:textId="77777777" w:rsidR="006278A8" w:rsidRDefault="00ED6F4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2F5364E" w14:textId="77777777" w:rsidR="006278A8" w:rsidRDefault="00ED6F49" w:rsidP="00296113">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04312329"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6C1E80AF"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lastRenderedPageBreak/>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693B9A87"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2EA42F0C" w14:textId="77777777" w:rsidR="006278A8" w:rsidRDefault="00ED6F49">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6BAD9874"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7DBE83B6" w14:textId="77777777" w:rsidR="006278A8" w:rsidRDefault="00ED6F49">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10CFDAC6"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1108A8F0"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1445ABD9"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4FDE6133"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2143B24D"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3D1C0678"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773102E8"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2E496BE7"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51BD4CDE"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663AB338"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2"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74FA4BA0"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413422A0"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08212460"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7A7D3EF4"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31E50CCE" w14:textId="77777777" w:rsidR="006278A8" w:rsidRDefault="00ED6F49" w:rsidP="00296113">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3B28FF8C" w14:textId="77777777" w:rsidR="006278A8" w:rsidRDefault="00ED6F4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296113">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296113">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2EE066FE" w14:textId="77777777" w:rsidR="006278A8" w:rsidRDefault="00ED6F49" w:rsidP="006278A8">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lastRenderedPageBreak/>
        <w:t>For other types of references please refer to U.S. National Library of Medicine (</w:t>
      </w:r>
      <w:hyperlink r:id="rId23"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6278A8">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08559" w14:textId="77777777" w:rsidR="00D7024A" w:rsidRDefault="00D7024A">
      <w:r>
        <w:separator/>
      </w:r>
    </w:p>
  </w:endnote>
  <w:endnote w:type="continuationSeparator" w:id="0">
    <w:p w14:paraId="3D5785F0" w14:textId="77777777" w:rsidR="00D7024A" w:rsidRDefault="00D7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F502" w14:textId="77777777" w:rsidR="006278A8" w:rsidRDefault="006278A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4075" w14:textId="77777777" w:rsidR="006278A8" w:rsidRDefault="00ED6F4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64CF7595" wp14:editId="05DEBC29">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A158C64" w14:textId="77777777" w:rsidR="006278A8" w:rsidRDefault="00ED6F4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7B7A188" w14:textId="77777777" w:rsidR="006278A8" w:rsidRDefault="00ED6F49">
    <w:pPr>
      <w:adjustRightInd w:val="0"/>
      <w:snapToGrid w:val="0"/>
      <w:spacing w:before="240" w:line="260" w:lineRule="atLeast"/>
    </w:pPr>
    <w:r>
      <w:rPr>
        <w:noProof/>
      </w:rPr>
      <w:drawing>
        <wp:inline distT="0" distB="0" distL="114300" distR="114300" wp14:anchorId="4CE51B01" wp14:editId="0C49D25A">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6ABCCA00" w14:textId="77777777" w:rsidR="006278A8" w:rsidRDefault="006278A8">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4E3A5" w14:textId="77777777" w:rsidR="00D7024A" w:rsidRDefault="00D7024A">
      <w:r>
        <w:separator/>
      </w:r>
    </w:p>
  </w:footnote>
  <w:footnote w:type="continuationSeparator" w:id="0">
    <w:p w14:paraId="40FB71A1" w14:textId="77777777" w:rsidR="00D7024A" w:rsidRDefault="00D7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F1404" w14:textId="77777777" w:rsidR="006278A8" w:rsidRDefault="00ED6F49">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CFEF0" w14:textId="77777777" w:rsidR="006278A8" w:rsidRDefault="00ED6F49">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FBB1" w14:textId="77777777" w:rsidR="006278A8" w:rsidRDefault="00D7024A">
    <w:pPr>
      <w:pStyle w:val="a9"/>
    </w:pPr>
    <w:bookmarkStart w:id="12" w:name="OLE_LINK5"/>
    <w:r>
      <w:rPr>
        <w:rFonts w:ascii="Times New Roman" w:hAnsi="Times New Roman" w:cs="Times New Roman"/>
        <w:sz w:val="16"/>
        <w:szCs w:val="16"/>
      </w:rPr>
      <w:pict w14:anchorId="39614CE3">
        <v:shapetype id="_x0000_t202" coordsize="21600,21600" o:spt="202" path="m,l,21600r21600,l21600,xe">
          <v:stroke joinstyle="miter"/>
          <v:path gradientshapeok="t" o:connecttype="rect"/>
        </v:shapetype>
        <v:shape id="_x0000_s2049" type="#_x0000_t202" style="position:absolute;margin-left:236.2pt;margin-top:-13.1pt;width:191.05pt;height:37.95pt;z-index:251666432;mso-width-relative:page;mso-height-relative:page" o:gfxdata="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h4A&#10;CdgAAAAIAQAADwAAAAAAAAABACAAAAAiAAAAZHJzL2Rvd25yZXYueG1sUEsBAhQAFAAAAAgAh07i&#10;QH0XjN4iAgAAGwQAAA4AAAAAAAAAAQAgAAAAJwEAAGRycy9lMm9Eb2MueG1sUEsFBgAAAAAGAAYA&#10;WQEAALsFAAAAAA==&#10;" stroked="f">
          <v:fill opacity="0"/>
          <v:textbox>
            <w:txbxContent>
              <w:p w14:paraId="07178A22" w14:textId="77777777" w:rsidR="006278A8" w:rsidRDefault="00ED6F49">
                <w:pPr>
                  <w:jc w:val="right"/>
                  <w:rPr>
                    <w:rFonts w:ascii="Arial" w:hAnsi="Arial"/>
                    <w:b/>
                    <w:color w:val="003F9A"/>
                    <w:sz w:val="26"/>
                    <w:szCs w:val="26"/>
                  </w:rPr>
                </w:pPr>
                <w:r>
                  <w:rPr>
                    <w:rFonts w:ascii="Arial" w:hAnsi="Arial"/>
                    <w:b/>
                    <w:color w:val="003F9A"/>
                    <w:sz w:val="26"/>
                    <w:szCs w:val="26"/>
                  </w:rPr>
                  <w:t xml:space="preserve">Neuroimmunology </w:t>
                </w:r>
              </w:p>
              <w:p w14:paraId="2D1B001C" w14:textId="77777777" w:rsidR="006278A8" w:rsidRDefault="00ED6F49">
                <w:pPr>
                  <w:wordWrap w:val="0"/>
                  <w:jc w:val="right"/>
                </w:pPr>
                <w:r>
                  <w:rPr>
                    <w:rFonts w:ascii="Arial" w:hAnsi="Arial"/>
                    <w:b/>
                    <w:color w:val="003F9A"/>
                    <w:sz w:val="26"/>
                    <w:szCs w:val="26"/>
                  </w:rPr>
                  <w:t>and Neuroinflammation</w:t>
                </w:r>
              </w:p>
            </w:txbxContent>
          </v:textbox>
        </v:shape>
      </w:pict>
    </w:r>
    <w:r w:rsidR="00ED6F49">
      <w:rPr>
        <w:rFonts w:ascii="Times New Roman" w:hAnsi="Times New Roman" w:cs="Times New Roman" w:hint="eastAsia"/>
        <w:sz w:val="16"/>
        <w:szCs w:val="16"/>
      </w:rPr>
      <w:t>Surname</w:t>
    </w:r>
    <w:r w:rsidR="00ED6F49">
      <w:rPr>
        <w:rFonts w:ascii="Times New Roman" w:hAnsi="Times New Roman" w:cs="Times New Roman"/>
        <w:sz w:val="16"/>
        <w:szCs w:val="16"/>
      </w:rPr>
      <w:t xml:space="preserve"> </w:t>
    </w:r>
    <w:r w:rsidR="00ED6F49">
      <w:rPr>
        <w:rFonts w:ascii="Times New Roman" w:hAnsi="Times New Roman" w:cs="Times New Roman" w:hint="eastAsia"/>
        <w:i/>
        <w:iCs/>
        <w:sz w:val="16"/>
        <w:szCs w:val="16"/>
      </w:rPr>
      <w:t>et al</w:t>
    </w:r>
    <w:r w:rsidR="00ED6F49">
      <w:rPr>
        <w:rFonts w:ascii="Times New Roman" w:hAnsi="Times New Roman" w:cs="Times New Roman"/>
        <w:i/>
        <w:iCs/>
        <w:sz w:val="16"/>
        <w:szCs w:val="16"/>
      </w:rPr>
      <w:t>.</w:t>
    </w:r>
    <w:r w:rsidR="00ED6F49">
      <w:rPr>
        <w:rFonts w:ascii="Times New Roman" w:hAnsi="Times New Roman" w:cs="Times New Roman"/>
        <w:sz w:val="16"/>
        <w:szCs w:val="16"/>
      </w:rPr>
      <w:t xml:space="preserve"> </w:t>
    </w:r>
    <w:proofErr w:type="spellStart"/>
    <w:r w:rsidR="00ED6F49">
      <w:rPr>
        <w:rFonts w:ascii="Times New Roman" w:hAnsi="Times New Roman" w:cs="Times New Roman" w:hint="eastAsia"/>
        <w:i/>
        <w:iCs/>
        <w:sz w:val="16"/>
        <w:szCs w:val="16"/>
      </w:rPr>
      <w:t>Neuroimmunol</w:t>
    </w:r>
    <w:proofErr w:type="spellEnd"/>
    <w:r w:rsidR="00ED6F49">
      <w:rPr>
        <w:rFonts w:ascii="Times New Roman" w:hAnsi="Times New Roman" w:cs="Times New Roman" w:hint="eastAsia"/>
        <w:i/>
        <w:iCs/>
        <w:sz w:val="16"/>
        <w:szCs w:val="16"/>
      </w:rPr>
      <w:t xml:space="preserve"> Neuroinflammation</w:t>
    </w:r>
    <w:r w:rsidR="00ED6F49">
      <w:rPr>
        <w:rFonts w:ascii="Times New Roman" w:hAnsi="Times New Roman" w:cs="Times New Roman"/>
        <w:i/>
        <w:sz w:val="16"/>
        <w:szCs w:val="16"/>
      </w:rPr>
      <w:t xml:space="preserve"> </w:t>
    </w:r>
    <w:proofErr w:type="spellStart"/>
    <w:proofErr w:type="gramStart"/>
    <w:r w:rsidR="00ED6F49">
      <w:rPr>
        <w:rFonts w:ascii="Times New Roman" w:hAnsi="Times New Roman" w:cs="Times New Roman"/>
        <w:sz w:val="16"/>
        <w:szCs w:val="16"/>
      </w:rPr>
      <w:t>Year;Volume</w:t>
    </w:r>
    <w:proofErr w:type="gramEnd"/>
    <w:r w:rsidR="00ED6F49">
      <w:rPr>
        <w:rFonts w:ascii="Times New Roman" w:hAnsi="Times New Roman" w:cs="Times New Roman"/>
        <w:sz w:val="16"/>
        <w:szCs w:val="16"/>
      </w:rPr>
      <w:t>:</w:t>
    </w:r>
    <w:r w:rsidR="00ED6F49">
      <w:rPr>
        <w:rFonts w:ascii="Times New Roman" w:hAnsi="Times New Roman" w:cs="Times New Roman" w:hint="eastAsia"/>
        <w:sz w:val="16"/>
        <w:szCs w:val="16"/>
      </w:rPr>
      <w:t>Number</w:t>
    </w:r>
    <w:proofErr w:type="spellEnd"/>
    <w:r w:rsidR="00ED6F49">
      <w:rPr>
        <w:rFonts w:ascii="Times New Roman" w:hAnsi="Times New Roman" w:cs="Times New Roman"/>
        <w:sz w:val="16"/>
        <w:szCs w:val="16"/>
      </w:rPr>
      <w:br/>
    </w:r>
    <w:r w:rsidR="00ED6F49">
      <w:rPr>
        <w:rFonts w:ascii="Times New Roman" w:hAnsi="Times New Roman" w:cs="Times New Roman"/>
        <w:b/>
        <w:bCs/>
        <w:sz w:val="16"/>
        <w:szCs w:val="16"/>
      </w:rPr>
      <w:t>DOI</w:t>
    </w:r>
    <w:r w:rsidR="00ED6F49">
      <w:rPr>
        <w:rFonts w:ascii="Times New Roman" w:hAnsi="Times New Roman" w:cs="Times New Roman"/>
        <w:sz w:val="16"/>
        <w:szCs w:val="16"/>
      </w:rPr>
      <w:t>: 10.20517/23</w:t>
    </w:r>
    <w:r w:rsidR="00ED6F49">
      <w:rPr>
        <w:rFonts w:ascii="Times New Roman" w:hAnsi="Times New Roman" w:cs="Times New Roman" w:hint="eastAsia"/>
        <w:sz w:val="16"/>
        <w:szCs w:val="16"/>
      </w:rPr>
      <w:t>47</w:t>
    </w:r>
    <w:r w:rsidR="00ED6F49">
      <w:rPr>
        <w:rFonts w:ascii="Times New Roman" w:hAnsi="Times New Roman" w:cs="Times New Roman"/>
        <w:sz w:val="16"/>
        <w:szCs w:val="16"/>
      </w:rPr>
      <w:t>-</w:t>
    </w:r>
    <w:r w:rsidR="00ED6F49">
      <w:rPr>
        <w:rFonts w:ascii="Times New Roman" w:hAnsi="Times New Roman" w:cs="Times New Roman" w:hint="eastAsia"/>
        <w:sz w:val="16"/>
        <w:szCs w:val="16"/>
      </w:rPr>
      <w:t>8659</w:t>
    </w:r>
    <w:r w:rsidR="00ED6F49">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D5EBD"/>
    <w:rsid w:val="00156834"/>
    <w:rsid w:val="00172A27"/>
    <w:rsid w:val="0019510B"/>
    <w:rsid w:val="00255D75"/>
    <w:rsid w:val="002658C2"/>
    <w:rsid w:val="0027022E"/>
    <w:rsid w:val="00273491"/>
    <w:rsid w:val="00296113"/>
    <w:rsid w:val="00331E76"/>
    <w:rsid w:val="00354800"/>
    <w:rsid w:val="003608FF"/>
    <w:rsid w:val="003613A5"/>
    <w:rsid w:val="003B127A"/>
    <w:rsid w:val="003B3DF8"/>
    <w:rsid w:val="003B627D"/>
    <w:rsid w:val="00423880"/>
    <w:rsid w:val="00436667"/>
    <w:rsid w:val="004755F0"/>
    <w:rsid w:val="00480C95"/>
    <w:rsid w:val="00497675"/>
    <w:rsid w:val="004D5EC7"/>
    <w:rsid w:val="004E6705"/>
    <w:rsid w:val="004F52CE"/>
    <w:rsid w:val="00525A1D"/>
    <w:rsid w:val="005570D9"/>
    <w:rsid w:val="005B7E71"/>
    <w:rsid w:val="006278A8"/>
    <w:rsid w:val="00637595"/>
    <w:rsid w:val="00664187"/>
    <w:rsid w:val="00764727"/>
    <w:rsid w:val="007C517C"/>
    <w:rsid w:val="007D1FD5"/>
    <w:rsid w:val="007F261D"/>
    <w:rsid w:val="008075EB"/>
    <w:rsid w:val="008273BF"/>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83656"/>
    <w:rsid w:val="00C90E08"/>
    <w:rsid w:val="00CA1C6D"/>
    <w:rsid w:val="00CA2500"/>
    <w:rsid w:val="00D16246"/>
    <w:rsid w:val="00D7024A"/>
    <w:rsid w:val="00D850A1"/>
    <w:rsid w:val="00DB50C2"/>
    <w:rsid w:val="00DF5C43"/>
    <w:rsid w:val="00E0421A"/>
    <w:rsid w:val="00E31605"/>
    <w:rsid w:val="00EA21CF"/>
    <w:rsid w:val="00ED6F49"/>
    <w:rsid w:val="00EE548B"/>
    <w:rsid w:val="00F266A1"/>
    <w:rsid w:val="00F37CB8"/>
    <w:rsid w:val="00F916B5"/>
    <w:rsid w:val="00FA6414"/>
    <w:rsid w:val="00FC4246"/>
    <w:rsid w:val="00FC61D4"/>
    <w:rsid w:val="00FE1F0E"/>
    <w:rsid w:val="00FF79DB"/>
    <w:rsid w:val="0109259B"/>
    <w:rsid w:val="0109472D"/>
    <w:rsid w:val="011016B5"/>
    <w:rsid w:val="011D6D5F"/>
    <w:rsid w:val="011F3E8E"/>
    <w:rsid w:val="012C407B"/>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33F66"/>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5195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32B8E"/>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119A7"/>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86097"/>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00CC4"/>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73DD5"/>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26C38"/>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C39F8"/>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43327"/>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512774"/>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C33EB3"/>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169F6"/>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05A0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04A8054"/>
  <w15:docId w15:val="{B3F72143-9B09-4D3B-8672-3BCDEFAB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nn/Template_for_Supplementary_Material_nn.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2.png"/><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3199-469A-A5E5-91791DA2CAD1}"/>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3199-469A-A5E5-91791DA2CAD1}"/>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3199-469A-A5E5-91791DA2CAD1}"/>
            </c:ext>
          </c:extLst>
        </c:ser>
        <c:dLbls>
          <c:showLegendKey val="0"/>
          <c:showVal val="0"/>
          <c:showCatName val="0"/>
          <c:showSerName val="0"/>
          <c:showPercent val="0"/>
          <c:showBubbleSize val="0"/>
        </c:dLbls>
        <c:gapWidth val="219"/>
        <c:overlap val="-27"/>
        <c:axId val="330829312"/>
        <c:axId val="324399040"/>
      </c:barChart>
      <c:catAx>
        <c:axId val="33082931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4399040"/>
        <c:crosses val="autoZero"/>
        <c:auto val="1"/>
        <c:lblAlgn val="ctr"/>
        <c:lblOffset val="100"/>
        <c:tickLblSkip val="1"/>
        <c:noMultiLvlLbl val="0"/>
      </c:catAx>
      <c:valAx>
        <c:axId val="3243990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082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35"/>
    <customShpInfo spid="_x0000_s1036"/>
    <customShpInfo spid="_x0000_s1034"/>
    <customShpInfo spid="_x0000_s1026"/>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2510</Words>
  <Characters>14309</Characters>
  <Application>Microsoft Office Word</Application>
  <DocSecurity>0</DocSecurity>
  <Lines>119</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9</cp:revision>
  <dcterms:created xsi:type="dcterms:W3CDTF">2018-06-05T08:56:00Z</dcterms:created>
  <dcterms:modified xsi:type="dcterms:W3CDTF">2021-02-22T06:26:00Z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