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cs="Times New Roman"/>
          <w:b/>
          <w:bCs/>
          <w:sz w:val="24"/>
        </w:rPr>
      </w:pPr>
      <w:r>
        <w:rPr>
          <w:rFonts w:ascii="Times New Roman" w:hAnsi="Times New Roman" w:cs="Times New Roman"/>
          <w:b/>
          <w:bCs/>
          <w:sz w:val="24"/>
        </w:rPr>
        <w:t>Re</w:t>
      </w:r>
      <w:r>
        <w:rPr>
          <w:rFonts w:hint="eastAsia" w:ascii="Times New Roman" w:hAnsi="Times New Roman" w:cs="Times New Roman"/>
          <w:b/>
          <w:bCs/>
          <w:sz w:val="24"/>
        </w:rPr>
        <w:t>view</w:t>
      </w:r>
      <w:r>
        <w:rPr>
          <w:rFonts w:ascii="Times New Roman" w:hAnsi="Times New Roman" w:cs="Times New Roman"/>
          <w:b/>
          <w:bCs/>
          <w:sz w:val="24"/>
        </w:rPr>
        <w:t xml:space="preserve"> /Mini Review</w:t>
      </w:r>
    </w:p>
    <w:p>
      <w:pPr>
        <w:adjustRightInd w:val="0"/>
        <w:snapToGrid w:val="0"/>
        <w:rPr>
          <w:rFonts w:ascii="Times New Roman" w:hAnsi="Times New Roman" w:cs="Times New Roman"/>
          <w:b/>
          <w:bCs/>
          <w:sz w:val="24"/>
        </w:rPr>
      </w:pPr>
    </w:p>
    <w:p>
      <w:pPr>
        <w:adjustRightInd w:val="0"/>
        <w:snapToGrid w:val="0"/>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pPr>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rPr>
          <w:rFonts w:ascii="Times New Roman" w:hAnsi="Times New Roman" w:eastAsia="宋体" w:cs="Times New Roman"/>
          <w:b/>
          <w:bCs/>
          <w:color w:val="000000"/>
          <w:kern w:val="0"/>
          <w:sz w:val="24"/>
          <w:vertAlign w:val="superscript"/>
        </w:rPr>
      </w:pPr>
    </w:p>
    <w:p>
      <w:pPr>
        <w:adjustRightInd w:val="0"/>
        <w:snapToGrid w:val="0"/>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pPr>
        <w:adjustRightInd w:val="0"/>
        <w:snapToGrid w:val="0"/>
        <w:rPr>
          <w:rFonts w:ascii="Times New Roman" w:hAnsi="Times New Roman" w:cs="Times New Roman"/>
          <w:b/>
          <w:bCs/>
          <w:i/>
          <w:iCs/>
          <w:color w:val="3B3838" w:themeColor="background2" w:themeShade="40"/>
          <w:sz w:val="20"/>
          <w:szCs w:val="20"/>
        </w:rPr>
      </w:pPr>
    </w:p>
    <w:p>
      <w:pPr>
        <w:adjustRightInd w:val="0"/>
        <w:snapToGrid w:val="0"/>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rPr>
          <w:rFonts w:ascii="Times New Roman" w:hAnsi="Times New Roman" w:eastAsia="Times New Roman" w:cs="Times New Roman"/>
          <w:iCs/>
          <w:color w:val="190F13"/>
          <w:sz w:val="24"/>
        </w:rPr>
      </w:pPr>
    </w:p>
    <w:p>
      <w:pPr>
        <w:adjustRightInd w:val="0"/>
        <w:snapToGrid w:val="0"/>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adjustRightInd w:val="0"/>
        <w:snapToGrid w:val="0"/>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pPr>
        <w:widowControl/>
        <w:adjustRightInd w:val="0"/>
        <w:snapToGrid w:val="0"/>
        <w:rPr>
          <w:rFonts w:ascii="Times New Roman" w:hAnsi="Times New Roman" w:eastAsia="宋体" w:cs="Times New Roman"/>
          <w:b/>
          <w:bCs/>
          <w:iCs/>
          <w:color w:val="7F7F7F" w:themeColor="background1" w:themeShade="80"/>
          <w:kern w:val="0"/>
          <w:sz w:val="24"/>
        </w:rPr>
      </w:pPr>
    </w:p>
    <w:bookmarkEnd w:id="1"/>
    <w:p>
      <w:pPr>
        <w:adjustRightInd w:val="0"/>
        <w:snapToGrid w:val="0"/>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w:t>
      </w:r>
      <w:bookmarkStart w:id="2" w:name="OLE_LINK9"/>
      <w:r>
        <w:rPr>
          <w:rFonts w:hint="eastAsia" w:ascii="Times New Roman" w:hAnsi="Times New Roman" w:cs="Times New Roman"/>
          <w:b/>
          <w:bCs/>
          <w:color w:val="767171" w:themeColor="background2" w:themeShade="80"/>
          <w:sz w:val="20"/>
          <w:szCs w:val="20"/>
        </w:rPr>
        <w:t>R</w:t>
      </w:r>
      <w:r>
        <w:rPr>
          <w:rFonts w:ascii="Times New Roman" w:hAnsi="Times New Roman" w:cs="Times New Roman"/>
          <w:b/>
          <w:bCs/>
          <w:color w:val="767171" w:themeColor="background2" w:themeShade="80"/>
          <w:sz w:val="20"/>
          <w:szCs w:val="20"/>
        </w:rPr>
        <w:t>e</w:t>
      </w:r>
      <w:bookmarkEnd w:id="2"/>
      <w:r>
        <w:rPr>
          <w:rFonts w:hint="eastAsia" w:ascii="Times New Roman" w:hAnsi="Times New Roman" w:cs="Times New Roman"/>
          <w:b/>
          <w:bCs/>
          <w:color w:val="767171" w:themeColor="background2" w:themeShade="80"/>
          <w:sz w:val="20"/>
          <w:szCs w:val="20"/>
        </w:rPr>
        <w:t>view/</w:t>
      </w:r>
      <w:r>
        <w:rPr>
          <w:rFonts w:ascii="Times New Roman" w:hAnsi="Times New Roman" w:cs="Times New Roman"/>
          <w:b/>
          <w:bCs/>
          <w:color w:val="767171" w:themeColor="background2" w:themeShade="80"/>
          <w:sz w:val="20"/>
          <w:szCs w:val="20"/>
        </w:rPr>
        <w:t xml:space="preserve">Mini-Review.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"https://intellrobot.com/pages/view/author_instructions" </w:instrText>
      </w:r>
      <w:r>
        <w:fldChar w:fldCharType="separate"/>
      </w:r>
      <w:r>
        <w:rPr>
          <w:rStyle w:val="15"/>
          <w:rFonts w:hint="eastAsia"/>
        </w:rPr>
        <w:t>Author Instructions</w:t>
      </w:r>
      <w:r>
        <w:rPr>
          <w:rStyle w:val="15"/>
          <w:rFonts w:hint="eastAsia"/>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"mailto:editorial@intellrobot.com" </w:instrText>
      </w:r>
      <w:r>
        <w:fldChar w:fldCharType="separate"/>
      </w:r>
      <w:r>
        <w:rPr>
          <w:rStyle w:val="15"/>
          <w:rFonts w:ascii="Times New Roman" w:hAnsi="Times New Roman" w:cs="Times New Roman"/>
          <w:b/>
          <w:bCs/>
          <w:color w:val="767171" w:themeColor="background2" w:themeShade="80"/>
          <w:sz w:val="20"/>
          <w:szCs w:val="20"/>
        </w:rPr>
        <w:t>editorial@intellrobot.com</w:t>
      </w:r>
      <w:r>
        <w:rPr>
          <w:rStyle w:val="15"/>
          <w:rFonts w:ascii="Times New Roman" w:hAnsi="Times New Roman" w:cs="Times New Roman"/>
          <w:b/>
          <w:bCs/>
          <w:color w:val="767171" w:themeColor="background2" w:themeShade="80"/>
          <w:sz w:val="20"/>
          <w:szCs w:val="20"/>
        </w:rPr>
        <w:fldChar w:fldCharType="end"/>
      </w:r>
    </w:p>
    <w:p>
      <w:pPr>
        <w:adjustRightInd w:val="0"/>
        <w:snapToGrid w:val="0"/>
        <w:rPr>
          <w:rFonts w:ascii="Times New Roman" w:hAnsi="Times New Roman" w:eastAsia="Times New Roman" w:cs="Times New Roman"/>
          <w:iCs/>
          <w:color w:val="7F7F7F" w:themeColor="background1" w:themeShade="80"/>
          <w:sz w:val="24"/>
        </w:rPr>
      </w:pPr>
    </w:p>
    <w:p>
      <w:pPr>
        <w:adjustRightInd w:val="0"/>
        <w:snapToGrid w:val="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pPr>
        <w:adjustRightInd w:val="0"/>
        <w:snapToGrid w:val="0"/>
        <w:rPr>
          <w:rFonts w:ascii="Times New Roman" w:hAnsi="Times New Roman" w:eastAsia="宋体" w:cs="Times New Roman"/>
          <w:iCs/>
          <w:sz w:val="24"/>
        </w:rPr>
      </w:pPr>
      <w:bookmarkStart w:id="3" w:name="OLE_LINK87"/>
      <w:bookmarkStart w:id="4" w:name="OLE_LINK3"/>
      <w:r>
        <w:rPr>
          <w:rFonts w:ascii="Times New Roman" w:hAnsi="Times New Roman" w:eastAsia="宋体" w:cs="Times New Roman"/>
          <w:iCs/>
          <w:sz w:val="24"/>
        </w:rPr>
        <w:t>The abstract should state briefly the purpose of the research, the principal results and</w:t>
      </w:r>
    </w:p>
    <w:p>
      <w:pPr>
        <w:adjustRightInd w:val="0"/>
        <w:snapToGrid w:val="0"/>
        <w:rPr>
          <w:rFonts w:ascii="Times New Roman" w:hAnsi="Times New Roman" w:eastAsia="宋体" w:cs="Times New Roman"/>
          <w:iCs/>
          <w:sz w:val="24"/>
        </w:rPr>
      </w:pPr>
      <w:r>
        <w:rPr>
          <w:rFonts w:ascii="Times New Roman" w:hAnsi="Times New Roman" w:eastAsia="宋体" w:cs="Times New Roman"/>
          <w:iCs/>
          <w:sz w:val="24"/>
        </w:rPr>
        <w:t>major conclusions.</w:t>
      </w:r>
      <w:bookmarkEnd w:id="3"/>
      <w:r>
        <w:rPr>
          <w:rFonts w:hint="eastAsia" w:ascii="Times New Roman" w:hAnsi="Times New Roman" w:eastAsia="宋体" w:cs="Times New Roman"/>
          <w:iCs/>
          <w:sz w:val="24"/>
        </w:rPr>
        <w:t xml:space="preserve"> Unstructured.</w:t>
      </w:r>
    </w:p>
    <w:p>
      <w:pPr>
        <w:adjustRightInd w:val="0"/>
        <w:snapToGrid w:val="0"/>
        <w:rPr>
          <w:rFonts w:ascii="Times New Roman" w:hAnsi="Times New Roman" w:cs="Times New Roman"/>
          <w:b/>
          <w:bCs/>
          <w:i/>
          <w:color w:val="7F7F7F" w:themeColor="background1" w:themeShade="80"/>
          <w:sz w:val="24"/>
        </w:rPr>
      </w:pPr>
    </w:p>
    <w:p>
      <w:pPr>
        <w:adjustRightInd w:val="0"/>
        <w:snapToGrid w:val="0"/>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5" w:name="_Hlk59626732"/>
      <w:r>
        <w:rPr>
          <w:rFonts w:hint="eastAsia" w:ascii="Times New Roman" w:hAnsi="Times New Roman" w:cs="Times New Roman"/>
          <w:sz w:val="24"/>
        </w:rPr>
        <w:t>Intelligence</w:t>
      </w:r>
      <w:r>
        <w:rPr>
          <w:rFonts w:ascii="Times New Roman" w:hAnsi="Times New Roman" w:cs="Times New Roman"/>
          <w:sz w:val="24"/>
        </w:rPr>
        <w:t xml:space="preserve">, </w:t>
      </w:r>
      <w:r>
        <w:rPr>
          <w:rFonts w:hint="eastAsia" w:ascii="Times New Roman" w:hAnsi="Times New Roman" w:cs="Times New Roman"/>
          <w:sz w:val="24"/>
        </w:rPr>
        <w:t>robotics</w:t>
      </w:r>
      <w:r>
        <w:rPr>
          <w:rFonts w:ascii="Times New Roman" w:hAnsi="Times New Roman" w:cs="Times New Roman"/>
          <w:sz w:val="24"/>
        </w:rPr>
        <w:t xml:space="preserve">, </w:t>
      </w:r>
      <w:bookmarkEnd w:id="5"/>
      <w:r>
        <w:rPr>
          <w:rFonts w:hint="eastAsia" w:ascii="Times New Roman" w:hAnsi="Times New Roman" w:cs="Times New Roman"/>
          <w:sz w:val="24"/>
        </w:rPr>
        <w:t>template, keywords</w:t>
      </w: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pPr>
        <w:adjustRightInd w:val="0"/>
        <w:snapToGrid w:val="0"/>
        <w:rPr>
          <w:rFonts w:ascii="Times New Roman" w:hAnsi="Times New Roman" w:eastAsia="Times New Roman" w:cs="Times New Roman"/>
          <w:i/>
          <w:color w:val="190F13"/>
          <w:sz w:val="24"/>
        </w:rPr>
      </w:pPr>
    </w:p>
    <w:bookmarkEnd w:id="4"/>
    <w:p>
      <w:pPr>
        <w:adjustRightInd w:val="0"/>
        <w:snapToGrid w:val="0"/>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w:t>
      </w:r>
      <w:r>
        <w:rPr>
          <w:rFonts w:ascii="Times New Roman" w:hAnsi="Times New Roman" w:eastAsia="Times New Roman" w:cs="Times New Roman"/>
          <w:b/>
          <w:bCs/>
          <w:iCs/>
          <w:color w:val="190F13"/>
          <w:sz w:val="24"/>
        </w:rPr>
        <w:t>INTRODUCTION</w:t>
      </w:r>
      <w:r>
        <w:rPr>
          <w:rFonts w:hint="eastAsia" w:ascii="Times New Roman" w:hAnsi="Times New Roman" w:eastAsia="宋体" w:cs="Times New Roman"/>
          <w:b/>
          <w:bCs/>
          <w:iCs/>
          <w:color w:val="190F13"/>
          <w:sz w:val="24"/>
        </w:rPr>
        <w:t xml:space="preserve"> </w:t>
      </w:r>
    </w:p>
    <w:p>
      <w:pPr>
        <w:adjustRightInd w:val="0"/>
        <w:snapToGrid w:val="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adjustRightInd w:val="0"/>
        <w:snapToGrid w:val="0"/>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rPr>
          <w:rFonts w:ascii="Times New Roman" w:hAnsi="Times New Roman" w:cs="Times New Roman"/>
          <w:sz w:val="24"/>
        </w:rPr>
      </w:pPr>
    </w:p>
    <w:p>
      <w:pPr>
        <w:adjustRightInd w:val="0"/>
        <w:snapToGrid w:val="0"/>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2. LEVEL ONE HEADING</w:t>
      </w:r>
    </w:p>
    <w:p>
      <w:pPr>
        <w:adjustRightInd w:val="0"/>
        <w:snapToGrid w:val="0"/>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2.1.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pPr>
        <w:widowControl/>
        <w:adjustRightInd w:val="0"/>
        <w:snapToGrid w:val="0"/>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rPr>
          <w:rFonts w:ascii="Times New Roman" w:hAnsi="Times New Roman" w:cs="Times New Roman"/>
          <w:b/>
          <w:bCs/>
          <w:i/>
          <w:iCs/>
          <w:color w:val="767171" w:themeColor="background2" w:themeShade="80"/>
          <w:sz w:val="20"/>
          <w:szCs w:val="20"/>
        </w:rPr>
      </w:pPr>
    </w:p>
    <w:p>
      <w:pPr>
        <w:widowControl/>
        <w:adjustRightInd w:val="0"/>
        <w:snapToGrid w:val="0"/>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2.1.1.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pPr>
        <w:widowControl/>
        <w:adjustRightInd w:val="0"/>
        <w:snapToGrid w:val="0"/>
        <w:rPr>
          <w:rFonts w:ascii="Times New Roman" w:hAnsi="Times New Roman" w:cs="Times New Roman"/>
          <w:b/>
          <w:bCs/>
          <w:color w:val="7F7F7F"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"https://oaepublish.com/files/tpl/ir/Template_for_Supplementary_Material_ir.docx"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pPr>
        <w:adjustRightInd w:val="0"/>
        <w:snapToGrid w:val="0"/>
        <w:rPr>
          <w:rFonts w:ascii="Times New Roman" w:hAnsi="Times New Roman" w:cs="Times New Roman"/>
          <w:b/>
          <w:bCs/>
          <w:i/>
          <w:iCs/>
          <w:color w:val="7F7F7F" w:themeColor="background1" w:themeShade="80"/>
          <w:sz w:val="24"/>
        </w:rPr>
      </w:pPr>
    </w:p>
    <w:p>
      <w:pPr>
        <w:widowControl/>
        <w:adjustRightInd w:val="0"/>
        <w:snapToGrid w:val="0"/>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pPr>
              <w:widowControl/>
              <w:adjustRightInd w:val="0"/>
              <w:snapToGrid w:val="0"/>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pPr>
        <w:widowControl/>
        <w:adjustRightInd w:val="0"/>
        <w:snapToGrid w:val="0"/>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pPr>
        <w:widowControl/>
        <w:adjustRightInd w:val="0"/>
        <w:snapToGrid w:val="0"/>
        <w:rPr>
          <w:rFonts w:ascii="Times New Roman" w:hAnsi="Times New Roman" w:eastAsia="宋体" w:cs="Times New Roman"/>
          <w:bCs/>
          <w:color w:val="767171" w:themeColor="background2" w:themeShade="80"/>
          <w:kern w:val="0"/>
          <w:sz w:val="24"/>
        </w:rPr>
      </w:pP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pPr>
        <w:numPr>
          <w:ilvl w:val="0"/>
          <w:numId w:val="1"/>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pPr>
        <w:numPr>
          <w:ilvl w:val="0"/>
          <w:numId w:val="1"/>
        </w:numPr>
        <w:adjustRightInd w:val="0"/>
        <w:snapToGrid w:val="0"/>
        <w:ind w:left="0" w:firstLine="0"/>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pPr>
        <w:adjustRightInd w:val="0"/>
        <w:snapToGrid w:val="0"/>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jc w:val="center"/>
              <w:rPr>
                <w:rFonts w:ascii="Times New Roman" w:hAnsi="Times New Roman" w:eastAsia="宋体"/>
                <w:sz w:val="24"/>
              </w:rPr>
            </w:pPr>
            <w:bookmarkStart w:id="6" w:name="OLE_LINK4"/>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bookmarkEnd w:id="6"/>
          </w:p>
        </w:tc>
        <w:tc>
          <w:tcPr>
            <w:tcW w:w="435" w:type="dxa"/>
            <w:vAlign w:val="center"/>
          </w:tcPr>
          <w:p>
            <w:pPr>
              <w:rPr>
                <w:rFonts w:ascii="Times New Roman" w:hAnsi="Times New Roman"/>
                <w:sz w:val="24"/>
              </w:rPr>
            </w:pPr>
            <w:r>
              <w:rPr>
                <w:rFonts w:ascii="Times New Roman" w:hAnsi="Times New Roman"/>
                <w:sz w:val="24"/>
              </w:rPr>
              <w:t>(1)</w:t>
            </w:r>
          </w:p>
        </w:tc>
      </w:tr>
    </w:tbl>
    <w:p>
      <w:pPr>
        <w:adjustRightInd w:val="0"/>
        <w:snapToGrid w:val="0"/>
        <w:rPr>
          <w:rFonts w:ascii="Times New Roman" w:hAnsi="Times New Roman" w:cs="Times New Roman"/>
          <w:b/>
          <w:bCs/>
          <w:color w:val="767171" w:themeColor="background2" w:themeShade="80"/>
          <w:sz w:val="20"/>
          <w:szCs w:val="20"/>
        </w:rPr>
      </w:pPr>
      <w:bookmarkStart w:id="7" w:name="OLE_LINK21"/>
      <w:r>
        <w:rPr>
          <w:rFonts w:ascii="Times New Roman" w:hAnsi="Times New Roman" w:cs="Times New Roman"/>
          <w:b/>
          <w:bCs/>
          <w:color w:val="767171" w:themeColor="background2" w:themeShade="80"/>
          <w:sz w:val="20"/>
          <w:szCs w:val="20"/>
        </w:rPr>
        <w:t>Equation</w:t>
      </w:r>
      <w:bookmarkEnd w:id="7"/>
      <w:r>
        <w:rPr>
          <w:rFonts w:ascii="Times New Roman" w:hAnsi="Times New Roman" w:cs="Times New Roman"/>
          <w:b/>
          <w:bCs/>
          <w:color w:val="767171" w:themeColor="background2" w:themeShade="80"/>
          <w:sz w:val="20"/>
          <w:szCs w:val="20"/>
        </w:rPr>
        <w:t xml:space="preserve"> note:</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pPr>
        <w:adjustRightInd w:val="0"/>
        <w:snapToGrid w:val="0"/>
        <w:rPr>
          <w:rFonts w:ascii="Times New Roman" w:hAnsi="Times New Roman" w:cs="Times New Roman"/>
          <w:b/>
          <w:bCs/>
          <w:i/>
          <w:iCs/>
          <w:color w:val="7F7F7F"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shd w:val="clear" w:color="auto" w:fill="auto"/>
          </w:tcPr>
          <w:p>
            <w:pPr>
              <w:adjustRightInd w:val="0"/>
              <w:snapToGrid w:val="0"/>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pPr>
              <w:adjustRightInd w:val="0"/>
              <w:snapToGrid w:val="0"/>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tblPrEx>
          <w:tblCellMar>
            <w:top w:w="0" w:type="dxa"/>
            <w:left w:w="108" w:type="dxa"/>
            <w:bottom w:w="0" w:type="dxa"/>
            <w:right w:w="108" w:type="dxa"/>
          </w:tblCellMar>
        </w:tblPrEx>
        <w:tc>
          <w:tcPr>
            <w:tcW w:w="8844" w:type="dxa"/>
            <w:gridSpan w:val="2"/>
            <w:shd w:val="clear" w:color="auto" w:fill="auto"/>
          </w:tcPr>
          <w:p>
            <w:pPr>
              <w:adjustRightInd w:val="0"/>
              <w:snapToGrid w:val="0"/>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pPr>
              <w:adjustRightInd w:val="0"/>
              <w:snapToGrid w:val="0"/>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pPr>
        <w:adjustRightInd w:val="0"/>
        <w:snapToGrid w:val="0"/>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pPr>
        <w:adjustRightInd w:val="0"/>
        <w:snapToGrid w:val="0"/>
        <w:rPr>
          <w:rFonts w:ascii="Times New Roman" w:hAnsi="Times New Roman" w:cs="Times New Roman"/>
          <w:sz w:val="24"/>
          <w:vertAlign w:val="superscript"/>
        </w:rPr>
      </w:pPr>
    </w:p>
    <w:p>
      <w:pPr>
        <w:adjustRightInd w:val="0"/>
        <w:snapToGrid w:val="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pPr>
        <w:numPr>
          <w:ilvl w:val="0"/>
          <w:numId w:val="2"/>
        </w:numPr>
        <w:adjustRightInd w:val="0"/>
        <w:snapToGrid w:val="0"/>
        <w:ind w:left="0" w:firstLine="0"/>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3. </w:t>
      </w:r>
      <w:r>
        <w:rPr>
          <w:rFonts w:ascii="Times New Roman" w:hAnsi="Times New Roman" w:eastAsia="Times New Roman" w:cs="Times New Roman"/>
          <w:b/>
          <w:bCs/>
          <w:iCs/>
          <w:color w:val="190F13"/>
          <w:sz w:val="24"/>
        </w:rPr>
        <w:t>CONCLUSIONS</w:t>
      </w:r>
    </w:p>
    <w:p>
      <w:pPr>
        <w:adjustRightInd w:val="0"/>
        <w:snapToGrid w:val="0"/>
        <w:rPr>
          <w:rFonts w:ascii="Times New Roman" w:hAnsi="Times New Roman" w:cs="Times New Roman"/>
          <w:sz w:val="24"/>
        </w:rPr>
      </w:pPr>
      <w:r>
        <w:rPr>
          <w:rFonts w:ascii="Times New Roman" w:hAnsi="Times New Roman" w:cs="Times New Roman"/>
          <w:sz w:val="24"/>
        </w:rPr>
        <w:t>In this part, authors should summarize the principle conclusions of the study. In details, it may contain a summary of key findings, a statement about strengths and limitations of the studies, or the implications of the work for future research, etc. An attractive and interesting conclusion is always welcome.</w:t>
      </w:r>
    </w:p>
    <w:p>
      <w:pPr>
        <w:adjustRightInd w:val="0"/>
        <w:snapToGrid w:val="0"/>
        <w:rPr>
          <w:rFonts w:ascii="Times New Roman" w:hAnsi="Times New Roman" w:cs="Times New Roman"/>
          <w:b/>
          <w:bCs/>
          <w:i/>
          <w:iCs/>
          <w:color w:val="7F7F7F" w:themeColor="background1" w:themeShade="80"/>
          <w:sz w:val="24"/>
        </w:rPr>
      </w:pPr>
    </w:p>
    <w:p>
      <w:pPr>
        <w:adjustRightInd w:val="0"/>
        <w:snapToGrid w:val="0"/>
        <w:rPr>
          <w:rFonts w:ascii="Times New Roman" w:hAnsi="Times New Roman" w:eastAsia="Times New Roman" w:cs="Times New Roman"/>
          <w:b/>
          <w:bCs/>
          <w:iCs/>
          <w:color w:val="190F13"/>
          <w:sz w:val="24"/>
        </w:rPr>
      </w:pPr>
      <w:bookmarkStart w:id="8" w:name="_Hlk59623292"/>
      <w:bookmarkStart w:id="9" w:name="_Hlk59623241"/>
      <w:r>
        <w:rPr>
          <w:rFonts w:ascii="Times New Roman" w:hAnsi="Times New Roman" w:eastAsia="Times New Roman" w:cs="Times New Roman"/>
          <w:b/>
          <w:bCs/>
          <w:iCs/>
          <w:color w:val="190F13"/>
          <w:sz w:val="24"/>
        </w:rPr>
        <w:t>DECLARATIONS</w:t>
      </w:r>
    </w:p>
    <w:bookmarkEnd w:id="8"/>
    <w:p>
      <w:pPr>
        <w:widowControl/>
        <w:adjustRightInd w:val="0"/>
        <w:snapToGrid w:val="0"/>
        <w:rPr>
          <w:rFonts w:ascii="Times New Roman" w:hAnsi="Times New Roman" w:eastAsia="宋体" w:cs="Times New Roman"/>
          <w:b/>
          <w:bCs/>
          <w:iCs/>
          <w:color w:val="000000"/>
          <w:kern w:val="0"/>
          <w:sz w:val="24"/>
        </w:rPr>
      </w:pPr>
      <w:bookmarkStart w:id="10" w:name="_Hlk59623311"/>
      <w:bookmarkStart w:id="11" w:name="OLE_LINK1"/>
      <w:r>
        <w:rPr>
          <w:rFonts w:ascii="Times New Roman" w:hAnsi="Times New Roman" w:eastAsia="宋体" w:cs="Times New Roman"/>
          <w:b/>
          <w:bCs/>
          <w:iCs/>
          <w:color w:val="000000"/>
          <w:kern w:val="0"/>
          <w:sz w:val="24"/>
        </w:rPr>
        <w:t>Acknowledgments</w:t>
      </w: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rPr>
          <w:rFonts w:ascii="Times New Roman" w:hAnsi="Times New Roman" w:eastAsia="宋体" w:cs="Times New Roman"/>
          <w:b/>
          <w:bCs/>
          <w:iCs/>
          <w:color w:val="000000"/>
          <w:kern w:val="0"/>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pPr>
        <w:widowControl/>
        <w:adjustRightInd w:val="0"/>
        <w:snapToGrid w:val="0"/>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pPr>
        <w:widowControl/>
        <w:adjustRightInd w:val="0"/>
        <w:snapToGrid w:val="0"/>
        <w:rPr>
          <w:rFonts w:ascii="Times New Roman" w:hAnsi="Times New Roman" w:cs="Times New Roman"/>
          <w:iCs/>
          <w:sz w:val="24"/>
        </w:rPr>
      </w:pPr>
      <w:r>
        <w:rPr>
          <w:rFonts w:ascii="Times New Roman" w:hAnsi="Times New Roman" w:cs="Times New Roman"/>
          <w:iCs/>
          <w:sz w:val="24"/>
        </w:rPr>
        <w:t>…</w:t>
      </w:r>
    </w:p>
    <w:p>
      <w:pPr>
        <w:widowControl/>
        <w:adjustRightInd w:val="0"/>
        <w:snapToGrid w:val="0"/>
        <w:rPr>
          <w:rFonts w:ascii="Times New Roman" w:hAnsi="Times New Roman" w:eastAsia="宋体" w:cs="Times New Roman"/>
          <w:kern w:val="0"/>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pPr>
        <w:widowControl/>
        <w:adjustRightInd w:val="0"/>
        <w:snapToGrid w:val="0"/>
        <w:spacing w:before="156" w:beforeLines="50" w:line="260" w:lineRule="atLeast"/>
        <w:rPr>
          <w:rFonts w:hint="eastAsia" w:ascii="Times New Roman" w:hAnsi="Times New Roman" w:cs="Times New Roman"/>
          <w:b/>
          <w:bCs/>
          <w:sz w:val="24"/>
          <w:szCs w:val="24"/>
          <w:highlight w:val="yellow"/>
        </w:rPr>
      </w:pPr>
      <w:r>
        <w:rPr>
          <w:rFonts w:hint="eastAsia" w:ascii="Times New Roman" w:hAnsi="Times New Roman" w:cs="Times New Roman"/>
          <w:b/>
          <w:bCs/>
          <w:sz w:val="24"/>
          <w:szCs w:val="24"/>
          <w:highlight w:val="yellow"/>
        </w:rPr>
        <w:t xml:space="preserve">AI and AI-assisted tools </w:t>
      </w:r>
      <w:r>
        <w:rPr>
          <w:rFonts w:hint="eastAsia" w:ascii="Times New Roman" w:hAnsi="Times New Roman" w:cs="Times New Roman"/>
          <w:b/>
          <w:bCs/>
          <w:sz w:val="24"/>
          <w:szCs w:val="24"/>
          <w:highlight w:val="yellow"/>
          <w:lang w:val="en-US" w:eastAsia="zh-CN"/>
        </w:rPr>
        <w:t>s</w:t>
      </w:r>
      <w:bookmarkStart w:id="28" w:name="_GoBack"/>
      <w:bookmarkEnd w:id="28"/>
      <w:r>
        <w:rPr>
          <w:rFonts w:hint="eastAsia" w:ascii="Times New Roman" w:hAnsi="Times New Roman" w:cs="Times New Roman"/>
          <w:b/>
          <w:bCs/>
          <w:sz w:val="24"/>
          <w:szCs w:val="24"/>
          <w:highlight w:val="yellow"/>
        </w:rPr>
        <w:t>tatement</w:t>
      </w:r>
    </w:p>
    <w:p>
      <w:pPr>
        <w:widowControl/>
        <w:adjustRightInd w:val="0"/>
        <w:snapToGrid w:val="0"/>
        <w:spacing w:before="156" w:beforeLines="50" w:line="260" w:lineRule="atLeast"/>
        <w:rPr>
          <w:rFonts w:hint="eastAsia" w:ascii="Times New Roman" w:hAnsi="Times New Roman" w:cs="Times New Roman"/>
          <w:sz w:val="24"/>
          <w:szCs w:val="24"/>
          <w:highlight w:val="yellow"/>
        </w:rPr>
      </w:pPr>
      <w:r>
        <w:rPr>
          <w:rFonts w:hint="eastAsia" w:ascii="Times New Roman" w:hAnsi="Times New Roman" w:cs="Times New Roman"/>
          <w:sz w:val="24"/>
          <w:szCs w:val="24"/>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4"/>
          <w:szCs w:val="24"/>
          <w:highlight w:val="yellow"/>
        </w:rPr>
      </w:pPr>
      <w:r>
        <w:rPr>
          <w:rFonts w:hint="eastAsia" w:ascii="Times New Roman" w:hAnsi="Times New Roman" w:cs="Times New Roman"/>
          <w:sz w:val="24"/>
          <w:szCs w:val="24"/>
          <w:highlight w:val="yellow"/>
        </w:rPr>
        <w:t xml:space="preserve">If the manuscript does not involve this issue, state </w:t>
      </w:r>
      <w:r>
        <w:rPr>
          <w:rFonts w:hint="default" w:ascii="Times New Roman" w:hAnsi="Times New Roman" w:cs="Times New Roman"/>
          <w:sz w:val="24"/>
          <w:szCs w:val="24"/>
          <w:highlight w:val="yellow"/>
          <w:lang w:val="en-US" w:eastAsia="zh-CN"/>
        </w:rPr>
        <w:t>“</w:t>
      </w:r>
      <w:r>
        <w:rPr>
          <w:rFonts w:hint="eastAsia" w:ascii="Times New Roman" w:hAnsi="Times New Roman" w:cs="Times New Roman"/>
          <w:sz w:val="24"/>
          <w:szCs w:val="24"/>
          <w:highlight w:val="yellow"/>
        </w:rPr>
        <w:t>Not applicable.</w:t>
      </w:r>
      <w:r>
        <w:rPr>
          <w:rFonts w:hint="default" w:ascii="Times New Roman" w:hAnsi="Times New Roman" w:cs="Times New Roman"/>
          <w:sz w:val="24"/>
          <w:szCs w:val="24"/>
          <w:highlight w:val="yellow"/>
          <w:lang w:val="en-US" w:eastAsia="zh-CN"/>
        </w:rPr>
        <w:t>”</w:t>
      </w:r>
      <w:r>
        <w:rPr>
          <w:rFonts w:hint="eastAsia" w:ascii="Times New Roman" w:hAnsi="Times New Roman" w:cs="Times New Roman"/>
          <w:sz w:val="24"/>
          <w:szCs w:val="24"/>
          <w:highlight w:val="yellow"/>
        </w:rPr>
        <w:t xml:space="preserve"> in this section.</w:t>
      </w:r>
    </w:p>
    <w:p>
      <w:pPr>
        <w:widowControl/>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pPr>
        <w:widowControl/>
        <w:adjustRightInd w:val="0"/>
        <w:snapToGrid w:val="0"/>
        <w:rPr>
          <w:rFonts w:ascii="Times New Roman" w:hAnsi="Times New Roman" w:eastAsia="宋体" w:cs="Times New Roman"/>
          <w:kern w:val="0"/>
          <w:sz w:val="24"/>
        </w:rPr>
      </w:pPr>
    </w:p>
    <w:p>
      <w:pPr>
        <w:widowControl/>
        <w:adjustRightInd w:val="0"/>
        <w:snapToGrid w:val="0"/>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pPr>
        <w:adjustRightInd w:val="0"/>
        <w:snapToGrid w:val="0"/>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2" w:name="OLE_LINK10"/>
      <w:bookmarkStart w:id="13" w:name="OLE_LINK11"/>
      <w:r>
        <w:rPr>
          <w:rFonts w:ascii="Times New Roman" w:hAnsi="Times New Roman" w:cs="Times New Roman"/>
          <w:sz w:val="24"/>
        </w:rPr>
        <w:t>”</w:t>
      </w:r>
      <w:bookmarkEnd w:id="12"/>
      <w:bookmarkEnd w:id="13"/>
      <w:r>
        <w:rPr>
          <w:rFonts w:ascii="Times New Roman" w:hAnsi="Times New Roman" w:cs="Times New Roman"/>
          <w:sz w:val="24"/>
        </w:rPr>
        <w:t xml:space="preserve">. </w:t>
      </w:r>
    </w:p>
    <w:p>
      <w:pPr>
        <w:adjustRightInd w:val="0"/>
        <w:snapToGrid w:val="0"/>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4" w:name="OLE_LINK13"/>
      <w:bookmarkStart w:id="15" w:name="OLE_LINK12"/>
      <w:r>
        <w:rPr>
          <w:rFonts w:ascii="Times New Roman" w:hAnsi="Times New Roman" w:cs="Times New Roman"/>
          <w:sz w:val="24"/>
        </w:rPr>
        <w:t>“</w:t>
      </w:r>
      <w:bookmarkEnd w:id="14"/>
      <w:bookmarkEnd w:id="15"/>
      <w:r>
        <w:rPr>
          <w:rFonts w:ascii="Times New Roman" w:hAnsi="Times New Roman" w:cs="Times New Roman"/>
          <w:sz w:val="24"/>
        </w:rPr>
        <w:t xml:space="preserve">Conflicts of Interest” in the </w:t>
      </w:r>
      <w:bookmarkStart w:id="16" w:name="OLE_LINK15"/>
      <w:r>
        <w:rPr>
          <w:rStyle w:val="15"/>
          <w:rFonts w:ascii="Times New Roman" w:hAnsi="Times New Roman" w:cs="Times New Roman"/>
          <w:b/>
          <w:bCs/>
          <w:sz w:val="24"/>
        </w:rPr>
        <w:fldChar w:fldCharType="begin"/>
      </w:r>
      <w:r>
        <w:rPr>
          <w:rStyle w:val="15"/>
          <w:rFonts w:ascii="Times New Roman" w:hAnsi="Times New Roman" w:cs="Times New Roman"/>
          <w:b/>
          <w:bCs/>
          <w:sz w:val="24"/>
        </w:rPr>
        <w:instrText xml:space="preserve"> HYPERLINK "https://intellrobot.com/pages/view/editorial_policies" </w:instrText>
      </w:r>
      <w:r>
        <w:rPr>
          <w:rStyle w:val="15"/>
          <w:rFonts w:ascii="Times New Roman" w:hAnsi="Times New Roman" w:cs="Times New Roman"/>
          <w:b/>
          <w:bCs/>
          <w:sz w:val="24"/>
        </w:rP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bookmarkEnd w:id="16"/>
      <w:r>
        <w:rPr>
          <w:rFonts w:ascii="Times New Roman" w:hAnsi="Times New Roman" w:cs="Times New Roman"/>
          <w:sz w:val="24"/>
        </w:rPr>
        <w:t xml:space="preserve"> of </w:t>
      </w:r>
      <w:bookmarkStart w:id="17" w:name="OLE_LINK16"/>
      <w:r>
        <w:rPr>
          <w:rFonts w:hint="eastAsia" w:ascii="Times New Roman" w:hAnsi="Times New Roman" w:cs="Times New Roman"/>
          <w:i/>
          <w:iCs/>
          <w:sz w:val="24"/>
        </w:rPr>
        <w:t>Intelligence &amp; Robotics</w:t>
      </w:r>
      <w:bookmarkEnd w:id="17"/>
      <w:r>
        <w:rPr>
          <w:rFonts w:ascii="Times New Roman" w:hAnsi="Times New Roman" w:cs="Times New Roman"/>
          <w:sz w:val="24"/>
        </w:rPr>
        <w:t xml:space="preserve"> for a full explanation.</w:t>
      </w:r>
    </w:p>
    <w:p>
      <w:pPr>
        <w:widowControl/>
        <w:adjustRightInd w:val="0"/>
        <w:snapToGrid w:val="0"/>
        <w:rPr>
          <w:rFonts w:ascii="Times New Roman" w:hAnsi="Times New Roman" w:eastAsia="宋体" w:cs="Times New Roman"/>
          <w:b/>
          <w:bCs/>
          <w:iCs/>
          <w:color w:val="000000"/>
          <w:kern w:val="0"/>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Style w:val="15"/>
          <w:rFonts w:hint="eastAsia" w:ascii="Times New Roman" w:hAnsi="Times New Roman" w:cs="Times New Roman"/>
          <w:b/>
          <w:bCs/>
          <w:sz w:val="24"/>
        </w:rPr>
        <w:t>.</w:t>
      </w:r>
      <w:r>
        <w:rPr>
          <w:rFonts w:hint="eastAsia" w:ascii="Times New Roman" w:hAnsi="Times New Roman" w:cs="Times New Roman"/>
          <w:sz w:val="24"/>
        </w:rPr>
        <w:t xml:space="preserve"> </w:t>
      </w:r>
    </w:p>
    <w:p>
      <w:pPr>
        <w:adjustRightInd w:val="0"/>
        <w:snapToGrid w:val="0"/>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8" w:name="OLE_LINK17"/>
      <w:r>
        <w:rPr>
          <w:rFonts w:ascii="Times New Roman" w:hAnsi="Times New Roman" w:cs="Times New Roman"/>
          <w:sz w:val="24"/>
        </w:rPr>
        <w:t>“</w:t>
      </w:r>
      <w:bookmarkEnd w:id="18"/>
      <w:r>
        <w:rPr>
          <w:rFonts w:ascii="Times New Roman" w:hAnsi="Times New Roman" w:cs="Times New Roman"/>
          <w:sz w:val="24"/>
        </w:rPr>
        <w:t>Not applicable.” in this section.</w:t>
      </w:r>
    </w:p>
    <w:p>
      <w:pPr>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pPr>
        <w:adjustRightInd w:val="0"/>
        <w:snapToGrid w:val="0"/>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rPr>
          <w:rFonts w:ascii="Times New Roman" w:hAnsi="Times New Roman" w:cs="Times New Roman"/>
          <w:sz w:val="24"/>
        </w:rPr>
      </w:pPr>
    </w:p>
    <w:p>
      <w:pPr>
        <w:widowControl/>
        <w:adjustRightInd w:val="0"/>
        <w:snapToGrid w:val="0"/>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pPr>
        <w:widowControl/>
        <w:adjustRightInd w:val="0"/>
        <w:snapToGrid w:val="0"/>
        <w:rPr>
          <w:rFonts w:ascii="Times New Roman" w:hAnsi="Times New Roman" w:eastAsia="宋体" w:cs="Times New Roman"/>
          <w:color w:val="000000"/>
          <w:kern w:val="0"/>
          <w:sz w:val="24"/>
        </w:rPr>
      </w:pPr>
    </w:p>
    <w:bookmarkEnd w:id="9"/>
    <w:bookmarkEnd w:id="10"/>
    <w:p>
      <w:pPr>
        <w:adjustRightInd w:val="0"/>
        <w:snapToGrid w:val="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1"/>
    <w:p>
      <w:pPr>
        <w:adjustRightInd w:val="0"/>
        <w:snapToGrid w:val="0"/>
        <w:rPr>
          <w:rFonts w:ascii="Times New Roman" w:hAnsi="Times New Roman" w:cs="Times New Roman"/>
          <w:sz w:val="24"/>
        </w:rPr>
      </w:pPr>
      <w:bookmarkStart w:id="19"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ind w:left="0" w:firstLine="0"/>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bookmarkStart w:id="20" w:name="OLE_LINK22"/>
      <w:r>
        <w:rPr>
          <w:rFonts w:ascii="Times New Roman" w:hAnsi="Times New Roman" w:cs="Times New Roman"/>
          <w:b/>
          <w:bCs/>
          <w:color w:val="767171" w:themeColor="background2" w:themeShade="80"/>
          <w:sz w:val="20"/>
          <w:szCs w:val="20"/>
        </w:rPr>
        <w:t>Each reference should have a corresponding DOI number/website link</w:t>
      </w:r>
      <w:bookmarkEnd w:id="20"/>
      <w:r>
        <w:rPr>
          <w:rFonts w:ascii="Times New Roman" w:hAnsi="Times New Roman" w:cs="Times New Roman"/>
          <w:b/>
          <w:bCs/>
          <w:color w:val="767171" w:themeColor="background2" w:themeShade="80"/>
          <w:sz w:val="20"/>
          <w:szCs w:val="20"/>
        </w:rPr>
        <w:t>;</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pPr>
        <w:numPr>
          <w:ilvl w:val="0"/>
          <w:numId w:val="2"/>
        </w:numPr>
        <w:adjustRightInd w:val="0"/>
        <w:snapToGrid w:val="0"/>
        <w:ind w:left="0" w:firstLine="0"/>
        <w:rPr>
          <w:rFonts w:ascii="Times New Roman" w:hAnsi="Times New Roman" w:cs="Times New Roman"/>
          <w:b/>
          <w:bCs/>
          <w:color w:val="767171" w:themeColor="background2" w:themeShade="80"/>
          <w:sz w:val="20"/>
          <w:szCs w:val="20"/>
        </w:rPr>
      </w:pPr>
      <w:bookmarkStart w:id="21"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fldChar w:fldCharType="begin"/>
      </w:r>
      <w:r>
        <w:instrText xml:space="preserve"> HYPERLINK "https://www.issn.org/services/online-services/access-to-the-ltwa/" </w:instrText>
      </w:r>
      <w:r>
        <w:fldChar w:fldCharType="separate"/>
      </w:r>
      <w:bookmarkStart w:id="22" w:name="OLE_LINK14"/>
      <w:r>
        <w:rPr>
          <w:rStyle w:val="15"/>
          <w:rFonts w:ascii="Times New Roman" w:hAnsi="Times New Roman" w:cs="Times New Roman"/>
        </w:rPr>
        <w:t>https://www.issn.org/services/online-services/access-to-the-ltwa/</w:t>
      </w:r>
      <w:bookmarkEnd w:id="22"/>
      <w:r>
        <w:rPr>
          <w:rStyle w:val="15"/>
          <w:rFonts w:ascii="Times New Roman" w:hAnsi="Times New Roman" w:cs="Times New Roman"/>
        </w:rPr>
        <w:fldChar w:fldCharType="end"/>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21"/>
    <w:p>
      <w:pPr>
        <w:adjustRightInd w:val="0"/>
        <w:snapToGrid w:val="0"/>
        <w:rPr>
          <w:rFonts w:ascii="Times New Roman" w:hAnsi="Times New Roman" w:cs="Times New Roman"/>
          <w:sz w:val="24"/>
        </w:rPr>
      </w:pPr>
    </w:p>
    <w:p>
      <w:pPr>
        <w:adjustRightInd w:val="0"/>
        <w:snapToGrid w:val="0"/>
        <w:rPr>
          <w:rFonts w:ascii="Times New Roman" w:hAnsi="Times New Roman" w:cs="Times New Roman"/>
          <w:sz w:val="24"/>
        </w:rPr>
      </w:pPr>
      <w:bookmarkStart w:id="23" w:name="OLE_LINK19"/>
      <w:r>
        <w:rPr>
          <w:rFonts w:ascii="Times New Roman" w:hAnsi="Times New Roman" w:cs="Times New Roman"/>
          <w:sz w:val="24"/>
        </w:rPr>
        <w:t>Examples of references are shown below:</w:t>
      </w:r>
    </w:p>
    <w:p>
      <w:pPr>
        <w:adjustRightInd w:val="0"/>
        <w:snapToGrid w:val="0"/>
        <w:rPr>
          <w:rStyle w:val="15"/>
          <w:rFonts w:ascii="Times New Roman" w:hAnsi="Times New Roman" w:cs="Times New Roman"/>
          <w:sz w:val="24"/>
        </w:rPr>
      </w:pPr>
      <w:bookmarkStart w:id="24" w:name="OLE_LINK7"/>
    </w:p>
    <w:bookmarkEnd w:id="19"/>
    <w:bookmarkEnd w:id="23"/>
    <w:bookmarkEnd w:id="24"/>
    <w:p>
      <w:pPr>
        <w:widowControl/>
        <w:tabs>
          <w:tab w:val="left" w:pos="5094"/>
        </w:tabs>
        <w:adjustRightInd w:val="0"/>
        <w:snapToGrid w:val="0"/>
        <w:rPr>
          <w:rFonts w:ascii="Times New Roman" w:hAnsi="Times New Roman" w:cs="Times New Roman"/>
          <w:b/>
          <w:bCs/>
          <w:color w:val="808080"/>
          <w:sz w:val="20"/>
          <w:szCs w:val="20"/>
        </w:rPr>
      </w:pPr>
      <w:bookmarkStart w:id="25" w:name="OLE_LINK18"/>
      <w:r>
        <w:rPr>
          <w:rFonts w:ascii="Times New Roman" w:hAnsi="Times New Roman" w:cs="Times New Roman"/>
          <w:b/>
          <w:bCs/>
          <w:color w:val="808080"/>
          <w:sz w:val="20"/>
          <w:szCs w:val="20"/>
        </w:rPr>
        <w:t>Journal articles by individual authors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Weaver,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L.; Ashikaga, T.; Krag,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N. Effect of occult metastases on survival in node-negative breast cancer. </w:t>
      </w:r>
      <w:r>
        <w:rPr>
          <w:rFonts w:ascii="Times New Roman" w:hAnsi="Times New Roman" w:cs="Times New Roman"/>
          <w:b/>
          <w:bCs/>
          <w:i/>
          <w:iCs/>
          <w:color w:val="808080"/>
          <w:sz w:val="20"/>
          <w:szCs w:val="20"/>
        </w:rPr>
        <w:t>N. Engl. J. Med.</w:t>
      </w:r>
      <w:r>
        <w:rPr>
          <w:rFonts w:ascii="Times New Roman" w:hAnsi="Times New Roman" w:cs="Times New Roman"/>
          <w:b/>
          <w:bCs/>
          <w:color w:val="808080"/>
          <w:sz w:val="20"/>
          <w:szCs w:val="20"/>
        </w:rPr>
        <w:t xml:space="preserve"> 2011, </w:t>
      </w:r>
      <w:r>
        <w:rPr>
          <w:rFonts w:ascii="Times New Roman" w:hAnsi="Times New Roman" w:cs="Times New Roman"/>
          <w:b/>
          <w:bCs/>
          <w:i/>
          <w:iCs/>
          <w:color w:val="808080"/>
          <w:sz w:val="20"/>
          <w:szCs w:val="20"/>
        </w:rPr>
        <w:t>364</w:t>
      </w:r>
      <w:r>
        <w:rPr>
          <w:rFonts w:ascii="Times New Roman" w:hAnsi="Times New Roman" w:cs="Times New Roman"/>
          <w:b/>
          <w:bCs/>
          <w:color w:val="808080"/>
          <w:sz w:val="20"/>
          <w:szCs w:val="20"/>
        </w:rPr>
        <w:t>, 412-421. DOI: 10.1056/NEJMoa1008108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Diabetes Prevention Program Research Group. Hypertension, insulin, and proinsulin in participants with impaired glucose tolerance. </w:t>
      </w:r>
      <w:r>
        <w:rPr>
          <w:rFonts w:ascii="Times New Roman" w:hAnsi="Times New Roman" w:cs="Times New Roman"/>
          <w:b/>
          <w:bCs/>
          <w:i/>
          <w:iCs/>
          <w:color w:val="808080"/>
          <w:sz w:val="20"/>
          <w:szCs w:val="20"/>
        </w:rPr>
        <w:t>Hypertension</w:t>
      </w:r>
      <w:r>
        <w:rPr>
          <w:rFonts w:ascii="Times New Roman" w:hAnsi="Times New Roman" w:cs="Times New Roman"/>
          <w:b/>
          <w:bCs/>
          <w:color w:val="808080"/>
          <w:sz w:val="20"/>
          <w:szCs w:val="20"/>
        </w:rPr>
        <w:t xml:space="preserve"> 2002, </w:t>
      </w:r>
      <w:r>
        <w:rPr>
          <w:rFonts w:ascii="Times New Roman" w:hAnsi="Times New Roman" w:cs="Times New Roman"/>
          <w:b/>
          <w:bCs/>
          <w:i/>
          <w:iCs/>
          <w:color w:val="808080"/>
          <w:sz w:val="20"/>
          <w:szCs w:val="20"/>
        </w:rPr>
        <w:t>40</w:t>
      </w:r>
      <w:r>
        <w:rPr>
          <w:rFonts w:ascii="Times New Roman" w:hAnsi="Times New Roman" w:cs="Times New Roman"/>
          <w:b/>
          <w:bCs/>
          <w:color w:val="808080"/>
          <w:sz w:val="20"/>
          <w:szCs w:val="20"/>
        </w:rPr>
        <w:t>, 679-686. DOI: 10.1161/01.HYP.0000035706.28494.09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Both personal authors and 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Vallancien, G.; Emberton, M.; Harving, N.; van Moorselaar, R.</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J.; Alf-One Study Group. Sexual dysfunction in 1,274 European men suffering from lower urinary tract symptoms</w:t>
      </w:r>
      <w:r>
        <w:rPr>
          <w:rFonts w:ascii="Times New Roman" w:hAnsi="Times New Roman" w:cs="Times New Roman"/>
          <w:b/>
          <w:bCs/>
          <w:i/>
          <w:iCs/>
          <w:color w:val="808080"/>
          <w:sz w:val="20"/>
          <w:szCs w:val="20"/>
        </w:rPr>
        <w:t>.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Urol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w:t>
      </w:r>
      <w:r>
        <w:rPr>
          <w:rFonts w:ascii="Times New Roman" w:hAnsi="Times New Roman" w:cs="Times New Roman"/>
          <w:b/>
          <w:bCs/>
          <w:color w:val="808080"/>
          <w:sz w:val="20"/>
          <w:szCs w:val="20"/>
        </w:rPr>
        <w:t>2003</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169</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2257-</w:t>
      </w:r>
      <w:r>
        <w:rPr>
          <w:rFonts w:hint="eastAsia" w:ascii="Times New Roman" w:hAnsi="Times New Roman" w:cs="Times New Roman"/>
          <w:b/>
          <w:bCs/>
          <w:color w:val="808080"/>
          <w:sz w:val="20"/>
          <w:szCs w:val="20"/>
        </w:rPr>
        <w:t>22</w:t>
      </w:r>
      <w:r>
        <w:rPr>
          <w:rFonts w:ascii="Times New Roman" w:hAnsi="Times New Roman" w:cs="Times New Roman"/>
          <w:b/>
          <w:bCs/>
          <w:color w:val="808080"/>
          <w:sz w:val="20"/>
          <w:szCs w:val="20"/>
        </w:rPr>
        <w:t>61. DOI: 10.1097/01.ju.0000067940.76090.73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not in English</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Zhang X.; Xiong H.; Ji T.</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Y.; Zhang Y.</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H.; Wang Y. Case report of anti-N-methyl-D-aspartate receptor encephalitis in child.</w:t>
      </w:r>
      <w:r>
        <w:rPr>
          <w:rFonts w:ascii="Times New Roman" w:hAnsi="Times New Roman" w:cs="Times New Roman"/>
          <w:b/>
          <w:bCs/>
          <w:i/>
          <w:iCs/>
          <w:color w:val="808080"/>
          <w:sz w:val="20"/>
          <w:szCs w:val="20"/>
        </w:rPr>
        <w:t xml:space="preserve">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Appl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Clin</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Pediatr</w:t>
      </w:r>
      <w:r>
        <w:rPr>
          <w:rFonts w:hint="eastAsia" w:ascii="Times New Roman" w:hAnsi="Times New Roman" w:cs="Times New Roman"/>
          <w:b/>
          <w:bCs/>
          <w:i/>
          <w:iCs/>
          <w:color w:val="808080"/>
          <w:sz w:val="20"/>
          <w:szCs w:val="20"/>
        </w:rPr>
        <w:t>.</w:t>
      </w:r>
      <w:r>
        <w:rPr>
          <w:rFonts w:ascii="Times New Roman" w:hAnsi="Times New Roman" w:cs="Times New Roman"/>
          <w:b/>
          <w:bCs/>
          <w:color w:val="808080"/>
          <w:sz w:val="20"/>
          <w:szCs w:val="20"/>
        </w:rPr>
        <w:t> 2012</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27</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1903-</w:t>
      </w:r>
      <w:r>
        <w:rPr>
          <w:rFonts w:hint="eastAsia" w:ascii="Times New Roman" w:hAnsi="Times New Roman" w:cs="Times New Roman"/>
          <w:b/>
          <w:bCs/>
          <w:color w:val="808080"/>
          <w:sz w:val="20"/>
          <w:szCs w:val="20"/>
        </w:rPr>
        <w:t>190</w:t>
      </w:r>
      <w:r>
        <w:rPr>
          <w:rFonts w:ascii="Times New Roman" w:hAnsi="Times New Roman" w:cs="Times New Roman"/>
          <w:b/>
          <w:bCs/>
          <w:color w:val="808080"/>
          <w:sz w:val="20"/>
          <w:szCs w:val="20"/>
        </w:rPr>
        <w:t>7. (in Chinese)</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ahead of print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Odibo</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A</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O. Falling stillbirth and neonatal mortality rates in twin gestation: not a reason for complacency. </w:t>
      </w:r>
      <w:r>
        <w:rPr>
          <w:rFonts w:ascii="Times New Roman" w:hAnsi="Times New Roman" w:cs="Times New Roman"/>
          <w:b/>
          <w:bCs/>
          <w:i/>
          <w:iCs/>
          <w:color w:val="808080"/>
          <w:sz w:val="20"/>
          <w:szCs w:val="20"/>
        </w:rPr>
        <w:t>BJOG</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2018</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Epub ahead of print [DOI: 10.1111/1471-0528.15541]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Oxford University Press, 2015. DOI: 10.1093/acprof:oso/9780198738671.001.0001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Book in print</w:t>
      </w:r>
      <w:r>
        <w:rPr>
          <w:rFonts w:hint="eastAsia" w:ascii="Times New Roman" w:hAnsi="Times New Roman" w:cs="Times New Roman"/>
          <w:b/>
          <w:bCs/>
          <w:color w:val="808080"/>
          <w:sz w:val="20"/>
          <w:szCs w:val="20"/>
        </w:rPr>
        <w:t xml:space="preserve"> </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 xml:space="preserve">Frankel, F. </w:t>
      </w:r>
      <w:r>
        <w:rPr>
          <w:rFonts w:ascii="Times New Roman" w:hAnsi="Times New Roman" w:cs="Times New Roman"/>
          <w:b/>
          <w:bCs/>
          <w:i/>
          <w:iCs/>
          <w:color w:val="808080"/>
          <w:sz w:val="20"/>
          <w:szCs w:val="20"/>
        </w:rPr>
        <w:t>Picturing Science and Engineering</w:t>
      </w:r>
      <w:r>
        <w:rPr>
          <w:rFonts w:ascii="Times New Roman" w:hAnsi="Times New Roman" w:cs="Times New Roman"/>
          <w:b/>
          <w:bCs/>
          <w:color w:val="808080"/>
          <w:sz w:val="20"/>
          <w:szCs w:val="20"/>
        </w:rPr>
        <w:t>; MIT Press, 2018.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chapter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Crystal Symmetry. In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with editors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Mom the Chemistry Professor: Personal Accounts and Advice from Chemistry Professors Who Are Mothers</w:t>
      </w:r>
      <w:r>
        <w:rPr>
          <w:rFonts w:ascii="Times New Roman" w:hAnsi="Times New Roman" w:cs="Times New Roman"/>
          <w:b/>
          <w:bCs/>
          <w:color w:val="808080"/>
          <w:sz w:val="20"/>
          <w:szCs w:val="20"/>
        </w:rPr>
        <w:t>, 2nd ed.; Woznack, K., Charlebois, A., Cole, R. S., Marzabadi, C. H., Webster, G., Eds.; Springer, 2018. DOI: 10.1007/978-3-319-78972-9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series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Gaede, H. C. Professional Development for REU Students. In </w:t>
      </w:r>
      <w:r>
        <w:rPr>
          <w:rFonts w:ascii="Times New Roman" w:hAnsi="Times New Roman" w:cs="Times New Roman"/>
          <w:b/>
          <w:bCs/>
          <w:i/>
          <w:iCs/>
          <w:color w:val="808080"/>
          <w:sz w:val="20"/>
          <w:szCs w:val="20"/>
        </w:rPr>
        <w:t>Best Practices for Chemistry REU Programs</w:t>
      </w:r>
      <w:r>
        <w:rPr>
          <w:rFonts w:ascii="Times New Roman" w:hAnsi="Times New Roman" w:cs="Times New Roman"/>
          <w:b/>
          <w:bCs/>
          <w:color w:val="808080"/>
          <w:sz w:val="20"/>
          <w:szCs w:val="20"/>
        </w:rPr>
        <w:t>; Griep, M. A, Watkins, L., Eds.; ACS Symposium Series, Vol. 1295; American Chemical Society, 2018; pp 33−44. DOI: 10.1021/bk-2018-1295.ch003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 in 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Enander, R. T. Lead particulate and methylene chloride risks in automotive refinishing. Ph.D. Thesis, Tufts University, Medford, MA, 2001.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Website</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i/>
          <w:iCs/>
          <w:color w:val="808080"/>
          <w:sz w:val="20"/>
          <w:szCs w:val="20"/>
        </w:rPr>
        <w:t>World Health Organization</w:t>
      </w:r>
      <w:r>
        <w:rPr>
          <w:rFonts w:ascii="Times New Roman" w:hAnsi="Times New Roman" w:cs="Times New Roman"/>
          <w:b/>
          <w:bCs/>
          <w:i/>
          <w:iCs/>
          <w:color w:val="808080"/>
          <w:sz w:val="20"/>
          <w:szCs w:val="20"/>
        </w:rPr>
        <w:t xml:space="preserve"> Home Page</w:t>
      </w:r>
      <w:r>
        <w:rPr>
          <w:rFonts w:ascii="Times New Roman" w:hAnsi="Times New Roman" w:cs="Times New Roman"/>
          <w:b/>
          <w:bCs/>
          <w:color w:val="808080"/>
          <w:sz w:val="20"/>
          <w:szCs w:val="20"/>
        </w:rPr>
        <w:t>. https://www.who.int/ (accessed 2019-02-21).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Newspaper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Beauge, J. School district sued over burns girl suffered during chemistry class demonstration. </w:t>
      </w:r>
      <w:r>
        <w:rPr>
          <w:rFonts w:ascii="Times New Roman" w:hAnsi="Times New Roman" w:cs="Times New Roman"/>
          <w:b/>
          <w:bCs/>
          <w:i/>
          <w:iCs/>
          <w:color w:val="808080"/>
          <w:sz w:val="20"/>
          <w:szCs w:val="20"/>
        </w:rPr>
        <w:t>PennLive (Harrisburg, PA)</w:t>
      </w:r>
      <w:r>
        <w:rPr>
          <w:rFonts w:ascii="Times New Roman" w:hAnsi="Times New Roman" w:cs="Times New Roman"/>
          <w:b/>
          <w:bCs/>
          <w:color w:val="808080"/>
          <w:sz w:val="20"/>
          <w:szCs w:val="20"/>
        </w:rPr>
        <w:t>, November 17, 2018, updated November 17, 2018. https://www.pennlive.com/news/2018/11/school_district_sued_over_burn.html (accessed 2019-02-22).</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abstract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Okita, J.; Iwamoto, T.; Kira, M. Novel synthetic route for hydrosilyllithiums. In </w:t>
      </w:r>
      <w:r>
        <w:rPr>
          <w:rFonts w:ascii="Times New Roman" w:hAnsi="Times New Roman" w:cs="Times New Roman"/>
          <w:b/>
          <w:bCs/>
          <w:i/>
          <w:iCs/>
          <w:color w:val="808080"/>
          <w:sz w:val="20"/>
          <w:szCs w:val="20"/>
        </w:rPr>
        <w:t>Book of Abstracts, 2000 International Chemical Congress of Pacific Basin Societies (PACIFICHEM 2000)</w:t>
      </w:r>
      <w:r>
        <w:rPr>
          <w:rFonts w:ascii="Times New Roman" w:hAnsi="Times New Roman" w:cs="Times New Roman"/>
          <w:b/>
          <w:bCs/>
          <w:color w:val="808080"/>
          <w:sz w:val="20"/>
          <w:szCs w:val="20"/>
        </w:rPr>
        <w:t>, Honolulu, HI; Paper INOR 216.</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proceedings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Nilsson, A.; Petersson, F.; Persson, H. W.; Jönsson, H.; Laurell, T. Manipulation of suspended particles in a laminar flow. In </w:t>
      </w:r>
      <w:r>
        <w:rPr>
          <w:rFonts w:ascii="Times New Roman" w:hAnsi="Times New Roman" w:cs="Times New Roman"/>
          <w:b/>
          <w:bCs/>
          <w:i/>
          <w:iCs/>
          <w:color w:val="808080"/>
          <w:sz w:val="20"/>
          <w:szCs w:val="20"/>
        </w:rPr>
        <w:t>Micro Total Analysis Systems 2002, Proceedings of the μTAS 2002 Symposium</w:t>
      </w:r>
      <w:r>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Database</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SpectraBase</w:t>
      </w:r>
      <w:r>
        <w:rPr>
          <w:rFonts w:ascii="Times New Roman" w:hAnsi="Times New Roman" w:cs="Times New Roman"/>
          <w:b/>
          <w:bCs/>
          <w:color w:val="808080"/>
          <w:sz w:val="20"/>
          <w:szCs w:val="20"/>
        </w:rPr>
        <w:t>. Bio-Rad Laboratories. https://spectrabase.com/ (accessed 2020-01-05).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Patent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Stern, M. K.; Cheng, B. K. M. Process for preparing N-(p-nitroaryl)amides via reaction of nitrobenzene with nitriles. US 5380946, 1995.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Preprint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Yamamoto T. S.; Inui R.; Tada Y.; Yokoyama S</w:t>
      </w:r>
      <w:r>
        <w:rPr>
          <w:rFonts w:ascii="Times New Roman" w:hAnsi="Times New Roman" w:cs="Times New Roman"/>
          <w:b/>
          <w:bCs/>
          <w:color w:val="808080"/>
          <w:sz w:val="20"/>
          <w:szCs w:val="20"/>
        </w:rPr>
        <w:t xml:space="preserve">. </w:t>
      </w:r>
      <w:r>
        <w:rPr>
          <w:rFonts w:hint="eastAsia" w:ascii="Times New Roman" w:hAnsi="Times New Roman" w:cs="Times New Roman"/>
          <w:b/>
          <w:bCs/>
          <w:color w:val="808080"/>
          <w:sz w:val="20"/>
          <w:szCs w:val="20"/>
        </w:rPr>
        <w:t>Prospects of detection of subsolar mass primordial black hole and white dwarf binary mergers</w:t>
      </w:r>
      <w:r>
        <w:rPr>
          <w:rFonts w:ascii="Times New Roman" w:hAnsi="Times New Roman" w:cs="Times New Roman"/>
          <w:b/>
          <w:bCs/>
          <w:color w:val="808080"/>
          <w:sz w:val="20"/>
          <w:szCs w:val="20"/>
        </w:rPr>
        <w:t>. </w:t>
      </w:r>
      <w:r>
        <w:rPr>
          <w:rFonts w:ascii="Times New Roman" w:hAnsi="Times New Roman" w:cs="Times New Roman"/>
          <w:b/>
          <w:bCs/>
          <w:i/>
          <w:iCs/>
          <w:color w:val="808080"/>
          <w:sz w:val="20"/>
          <w:szCs w:val="20"/>
        </w:rPr>
        <w:t>arXiv</w:t>
      </w:r>
      <w:r>
        <w:rPr>
          <w:rFonts w:ascii="Times New Roman" w:hAnsi="Times New Roman" w:cs="Times New Roman"/>
          <w:b/>
          <w:bCs/>
          <w:color w:val="808080"/>
          <w:sz w:val="20"/>
          <w:szCs w:val="20"/>
        </w:rPr>
        <w:t xml:space="preserve"> 2004, arXiv:2401.00044. Available online: https://arxiv.org/abs/2401.00044 (accessed </w:t>
      </w:r>
      <w:r>
        <w:rPr>
          <w:rFonts w:hint="eastAsia" w:ascii="Times New Roman" w:hAnsi="Times New Roman" w:cs="Times New Roman"/>
          <w:b/>
          <w:bCs/>
          <w:color w:val="808080"/>
          <w:sz w:val="20"/>
          <w:szCs w:val="20"/>
        </w:rPr>
        <w:t>29</w:t>
      </w:r>
      <w:r>
        <w:rPr>
          <w:rFonts w:ascii="Times New Roman" w:hAnsi="Times New Roman" w:cs="Times New Roman"/>
          <w:b/>
          <w:bCs/>
          <w:color w:val="808080"/>
          <w:sz w:val="20"/>
          <w:szCs w:val="20"/>
        </w:rPr>
        <w:t xml:space="preserve"> December 20</w:t>
      </w:r>
      <w:r>
        <w:rPr>
          <w:rFonts w:hint="eastAsia" w:ascii="Times New Roman" w:hAnsi="Times New Roman" w:cs="Times New Roman"/>
          <w:b/>
          <w:bCs/>
          <w:color w:val="808080"/>
          <w:sz w:val="20"/>
          <w:szCs w:val="20"/>
        </w:rPr>
        <w:t>23</w:t>
      </w:r>
      <w:r>
        <w:rPr>
          <w:rFonts w:ascii="Times New Roman" w:hAnsi="Times New Roman" w:cs="Times New Roman"/>
          <w:b/>
          <w:bCs/>
          <w:color w:val="808080"/>
          <w:sz w:val="20"/>
          <w:szCs w:val="20"/>
        </w:rPr>
        <w:t>).</w:t>
      </w:r>
      <w:r>
        <w:rPr>
          <w:rFonts w:hint="eastAsia" w:ascii="Times New Roman" w:hAnsi="Times New Roman" w:cs="Times New Roman"/>
          <w:b/>
          <w:bCs/>
          <w:color w:val="808080"/>
          <w:sz w:val="20"/>
          <w:szCs w:val="20"/>
        </w:rPr>
        <w:t xml:space="preserve"> </w:t>
      </w:r>
      <w:bookmarkEnd w:id="25"/>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intellrobot</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26"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2336;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6"/>
    <w:r>
      <w:rPr>
        <w:rFonts w:ascii="Times New Roman" w:hAnsi="Times New Roman" w:cs="Times New Roman"/>
        <w:b/>
        <w:bCs/>
        <w:sz w:val="16"/>
        <w:szCs w:val="16"/>
      </w:rPr>
      <w:t>DOI</w:t>
    </w:r>
    <w:r>
      <w:rPr>
        <w:rFonts w:ascii="Times New Roman" w:hAnsi="Times New Roman" w:cs="Times New Roman"/>
        <w:sz w:val="16"/>
        <w:szCs w:val="16"/>
      </w:rPr>
      <w:t>: 10.20517/</w:t>
    </w:r>
    <w:bookmarkStart w:id="27"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D80"/>
    <w:rsid w:val="000178BA"/>
    <w:rsid w:val="00030B75"/>
    <w:rsid w:val="0003284A"/>
    <w:rsid w:val="00061947"/>
    <w:rsid w:val="00087FB4"/>
    <w:rsid w:val="000C63DB"/>
    <w:rsid w:val="000C7C3B"/>
    <w:rsid w:val="000D5EBD"/>
    <w:rsid w:val="000F36C0"/>
    <w:rsid w:val="00116B43"/>
    <w:rsid w:val="00116FC4"/>
    <w:rsid w:val="001436B8"/>
    <w:rsid w:val="00156834"/>
    <w:rsid w:val="00172A27"/>
    <w:rsid w:val="0019510B"/>
    <w:rsid w:val="00223A1A"/>
    <w:rsid w:val="002658C2"/>
    <w:rsid w:val="0027022E"/>
    <w:rsid w:val="00273491"/>
    <w:rsid w:val="00290FE1"/>
    <w:rsid w:val="002C1A49"/>
    <w:rsid w:val="002C6B96"/>
    <w:rsid w:val="00313ED7"/>
    <w:rsid w:val="00331E76"/>
    <w:rsid w:val="00354800"/>
    <w:rsid w:val="003608FF"/>
    <w:rsid w:val="003613A5"/>
    <w:rsid w:val="00363AF1"/>
    <w:rsid w:val="00367E3A"/>
    <w:rsid w:val="003736D8"/>
    <w:rsid w:val="00374DE8"/>
    <w:rsid w:val="003B127A"/>
    <w:rsid w:val="003B3DF8"/>
    <w:rsid w:val="003B627D"/>
    <w:rsid w:val="003C11CD"/>
    <w:rsid w:val="003E1502"/>
    <w:rsid w:val="00423880"/>
    <w:rsid w:val="00436667"/>
    <w:rsid w:val="0046509E"/>
    <w:rsid w:val="004755F0"/>
    <w:rsid w:val="00480C95"/>
    <w:rsid w:val="00497675"/>
    <w:rsid w:val="004D5EC7"/>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3063"/>
    <w:rsid w:val="00815F95"/>
    <w:rsid w:val="00842C21"/>
    <w:rsid w:val="00875A34"/>
    <w:rsid w:val="00885095"/>
    <w:rsid w:val="008A3DC7"/>
    <w:rsid w:val="008A495C"/>
    <w:rsid w:val="008E10AC"/>
    <w:rsid w:val="009201A7"/>
    <w:rsid w:val="00921419"/>
    <w:rsid w:val="0094175F"/>
    <w:rsid w:val="00953F02"/>
    <w:rsid w:val="00965BF7"/>
    <w:rsid w:val="00970184"/>
    <w:rsid w:val="009B3345"/>
    <w:rsid w:val="009E0A8E"/>
    <w:rsid w:val="009F1930"/>
    <w:rsid w:val="009F3D4B"/>
    <w:rsid w:val="009F6B73"/>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00955"/>
    <w:rsid w:val="00C109EF"/>
    <w:rsid w:val="00C46581"/>
    <w:rsid w:val="00C5076C"/>
    <w:rsid w:val="00C6365E"/>
    <w:rsid w:val="00C75D32"/>
    <w:rsid w:val="00C83656"/>
    <w:rsid w:val="00C90E08"/>
    <w:rsid w:val="00CA2500"/>
    <w:rsid w:val="00CA5EA3"/>
    <w:rsid w:val="00D16246"/>
    <w:rsid w:val="00D30F13"/>
    <w:rsid w:val="00D6721F"/>
    <w:rsid w:val="00DB50C2"/>
    <w:rsid w:val="00DC2E13"/>
    <w:rsid w:val="00DC7A71"/>
    <w:rsid w:val="00DF5C43"/>
    <w:rsid w:val="00E0421A"/>
    <w:rsid w:val="00E31605"/>
    <w:rsid w:val="00E6173E"/>
    <w:rsid w:val="00EA21CF"/>
    <w:rsid w:val="00EE548B"/>
    <w:rsid w:val="00F176EF"/>
    <w:rsid w:val="00F37CB8"/>
    <w:rsid w:val="00F42642"/>
    <w:rsid w:val="00F67227"/>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B8789A"/>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14DD"/>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7444C"/>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553B7"/>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9643FE"/>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EB5EAC"/>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AF1955"/>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31307"/>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A33F4"/>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AD49D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36425"/>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B4F69"/>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D0AB4"/>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C372B2"/>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qFormat/>
    <w:uiPriority w:val="0"/>
    <w:pPr>
      <w:jc w:val="left"/>
    </w:p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autoRedefine/>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autoRedefine/>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autoRedefine/>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2534</Words>
  <Characters>14577</Characters>
  <Lines>364</Lines>
  <Paragraphs>203</Paragraphs>
  <TotalTime>0</TotalTime>
  <ScaleCrop>false</ScaleCrop>
  <LinksUpToDate>false</LinksUpToDate>
  <CharactersWithSpaces>16908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Irene</cp:lastModifiedBy>
  <dcterms:modified xsi:type="dcterms:W3CDTF">2026-02-05T09:02:04Z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C6952AE7294144A0A4EBCF6D6B0EF0D1_13</vt:lpwstr>
  </property>
  <property fmtid="{D5CDD505-2E9C-101B-9397-08002B2CF9AE}" pid="4" name="GrammarlyDocumentId">
    <vt:lpwstr>62615618a03e030f0983bbbeb80ba7b2a4bf7122f1761d9a08396522a946f6e9</vt:lpwstr>
  </property>
</Properties>
</file>