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r>
        <w:rPr>
          <w:rFonts w:hint="eastAsia" w:ascii="Times New Roman" w:hAnsi="Times New Roman" w:cs="Times New Roman"/>
          <w:b/>
          <w:bCs/>
        </w:rPr>
        <w:t>Meta-Analysis/Systematic Review</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except for standardized ones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color w:val="7F7F7F" w:themeColor="background1" w:themeShade="80"/>
          <w:sz w:val="24"/>
        </w:rPr>
      </w:pPr>
      <w:r>
        <w:rPr>
          <w:rFonts w:ascii="Times New Roman" w:hAnsi="Times New Roman" w:eastAsia="Times New Roman" w:cs="Times New Roman"/>
          <w:b/>
          <w:bCs/>
          <w:iCs/>
          <w:color w:val="7F7F7F" w:themeColor="background1" w:themeShade="80"/>
          <w:sz w:val="24"/>
        </w:rPr>
        <w:t>How to Use This Template</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7F7F7F" w:themeColor="background1" w:themeShade="80"/>
          <w:sz w:val="18"/>
          <w:szCs w:val="18"/>
        </w:rPr>
        <w:t xml:space="preserve">This template shows the manuscript structure that can be used in a </w:t>
      </w:r>
      <w:r>
        <w:rPr>
          <w:rFonts w:hint="eastAsia" w:ascii="Times New Roman" w:hAnsi="Times New Roman"/>
          <w:b/>
          <w:bCs/>
          <w:i/>
          <w:color w:val="7F7F7F" w:themeColor="background1" w:themeShade="80"/>
          <w:sz w:val="18"/>
          <w:szCs w:val="18"/>
        </w:rPr>
        <w:t>Meta-Analysis/Systematic Review</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 xml:space="preserve">Abstract, Keywords, </w:t>
      </w:r>
      <w:r>
        <w:rPr>
          <w:rFonts w:ascii="Times New Roman" w:hAnsi="Times New Roman"/>
          <w:b/>
          <w:bCs/>
          <w:i/>
          <w:color w:val="7F7F7F" w:themeColor="background1" w:themeShade="80"/>
          <w:sz w:val="18"/>
          <w:szCs w:val="18"/>
        </w:rPr>
        <w:t>Introduction, Methods, Results, Discussion, Declarations</w:t>
      </w:r>
      <w:r>
        <w:rPr>
          <w:rFonts w:hint="eastAsia" w:ascii="Times New Roman" w:hAnsi="Times New Roman"/>
          <w:b/>
          <w:bCs/>
          <w:i/>
          <w:color w:val="7F7F7F" w:themeColor="background1" w:themeShade="80"/>
          <w:sz w:val="18"/>
          <w:szCs w:val="18"/>
        </w:rPr>
        <w:t xml:space="preserve"> and</w:t>
      </w:r>
      <w:r>
        <w:rPr>
          <w:rFonts w:ascii="Times New Roman" w:hAnsi="Times New Roman"/>
          <w:b/>
          <w:bCs/>
          <w:i/>
          <w:color w:val="7F7F7F" w:themeColor="background1" w:themeShade="80"/>
          <w:sz w:val="18"/>
          <w:szCs w:val="18"/>
        </w:rPr>
        <w:t xml:space="preserve"> References. Please note that each part has a corresponding style, </w:t>
      </w:r>
      <w:r>
        <w:rPr>
          <w:rFonts w:hint="eastAsia" w:ascii="Times New Roman" w:hAnsi="Times New Roman"/>
          <w:b/>
          <w:bCs/>
          <w:i/>
          <w:color w:val="7F7F7F" w:themeColor="background1" w:themeShade="80"/>
          <w:sz w:val="18"/>
          <w:szCs w:val="18"/>
        </w:rPr>
        <w:t>which</w:t>
      </w:r>
      <w:r>
        <w:rPr>
          <w:rFonts w:ascii="Times New Roman" w:hAnsi="Times New Roman"/>
          <w:b/>
          <w:bCs/>
          <w:i/>
          <w:color w:val="7F7F7F" w:themeColor="background1" w:themeShade="80"/>
          <w:sz w:val="18"/>
          <w:szCs w:val="18"/>
        </w:rPr>
        <w:t xml:space="preserve"> authors should follow.</w:t>
      </w:r>
      <w:r>
        <w:rPr>
          <w:rFonts w:hint="eastAsia" w:ascii="Times New Roman" w:hAnsi="Times New Roman"/>
          <w:b/>
          <w:bCs/>
          <w:i/>
          <w:color w:val="7F7F7F" w:themeColor="background1" w:themeShade="80"/>
          <w:sz w:val="18"/>
          <w:szCs w:val="18"/>
        </w:rPr>
        <w:t xml:space="preserve"> </w:t>
      </w:r>
      <w:r>
        <w:rPr>
          <w:rFonts w:hint="eastAsia"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7F7F7F" w:themeColor="background1" w:themeShade="80"/>
          <w:kern w:val="0"/>
          <w:sz w:val="18"/>
          <w:szCs w:val="18"/>
          <w:lang w:bidi="en-US"/>
        </w:rPr>
        <w:t xml:space="preserve">. </w:t>
      </w:r>
      <w:r>
        <w:rPr>
          <w:rFonts w:ascii="Times New Roman" w:hAnsi="Times New Roman" w:cs="Times New Roman"/>
          <w:b/>
          <w:bCs/>
          <w:i/>
          <w:color w:val="7F7F7F" w:themeColor="background1" w:themeShade="80"/>
          <w:sz w:val="18"/>
          <w:szCs w:val="18"/>
        </w:rPr>
        <w:t xml:space="preserve">For any questions, you may contact the </w:t>
      </w:r>
      <w:r>
        <w:fldChar w:fldCharType="begin"/>
      </w:r>
      <w:r>
        <w:instrText xml:space="preserve"> HYPERLINK "mailto:editorialoffice@misjournal.net" </w:instrText>
      </w:r>
      <w:r>
        <w:fldChar w:fldCharType="separate"/>
      </w:r>
      <w:r>
        <w:rPr>
          <w:rStyle w:val="13"/>
          <w:rFonts w:ascii="Times New Roman" w:hAnsi="Times New Roman" w:cs="Times New Roman"/>
          <w:b/>
          <w:bCs/>
          <w:i/>
          <w:color w:val="7F7F7F" w:themeColor="background1" w:themeShade="80"/>
          <w:sz w:val="18"/>
          <w:szCs w:val="18"/>
        </w:rPr>
        <w:t>editorial office</w:t>
      </w:r>
      <w:r>
        <w:rPr>
          <w:rStyle w:val="13"/>
          <w:rFonts w:ascii="Times New Roman" w:hAnsi="Times New Roman" w:cs="Times New Roman"/>
          <w:b/>
          <w:bCs/>
          <w:i/>
          <w:color w:val="7F7F7F" w:themeColor="background1" w:themeShade="80"/>
          <w:sz w:val="18"/>
          <w:szCs w:val="18"/>
        </w:rPr>
        <w:fldChar w:fldCharType="end"/>
      </w:r>
      <w:r>
        <w:rPr>
          <w:rFonts w:ascii="Times New Roman" w:hAnsi="Times New Roman" w:cs="Times New Roman"/>
          <w:b/>
          <w:bCs/>
          <w:i/>
          <w:color w:val="7F7F7F" w:themeColor="background1" w:themeShade="80"/>
          <w:sz w:val="18"/>
          <w:szCs w:val="18"/>
        </w:rPr>
        <w:t>.</w:t>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hint="eastAsia" w:ascii="Times New Roman" w:hAnsi="Times New Roman" w:cs="Times New Roman"/>
          <w:sz w:val="20"/>
          <w:szCs w:val="20"/>
        </w:rPr>
        <w:t>for example, authors may describe how they compare, summarize or analysis data</w:t>
      </w:r>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w:t>
      </w:r>
      <w:r>
        <w:rPr>
          <w:rFonts w:hint="eastAsia" w:ascii="Times New Roman" w:hAnsi="Times New Roman" w:cs="Times New Roman"/>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Morbidity</w:t>
      </w:r>
      <w:r>
        <w:rPr>
          <w:rFonts w:ascii="Times New Roman" w:hAnsi="Times New Roman" w:cs="Times New Roman"/>
          <w:sz w:val="20"/>
          <w:szCs w:val="20"/>
        </w:rPr>
        <w:t xml:space="preserve">,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1,</w:t>
      </w:r>
      <w:r>
        <w:rPr>
          <w:rFonts w:hint="eastAsia" w:ascii="Times New Roman" w:hAnsi="Times New Roman" w:cs="Times New Roman"/>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sz w:val="20"/>
          <w:szCs w:val="20"/>
        </w:rPr>
        <w:t xml:space="preserve">DNA, </w:t>
      </w:r>
      <w:r>
        <w:rPr>
          <w:rFonts w:hint="eastAsia" w:ascii="Times New Roman" w:hAnsi="Times New Roman" w:cs="Times New Roman"/>
          <w:sz w:val="20"/>
          <w:szCs w:val="20"/>
        </w:rPr>
        <w:t xml:space="preserve">contrast, meta-analysis, </w:t>
      </w:r>
      <w:r>
        <w:rPr>
          <w:rFonts w:ascii="Times New Roman" w:hAnsi="Times New Roman" w:cs="Times New Roman"/>
          <w:sz w:val="20"/>
          <w:szCs w:val="20"/>
        </w:rPr>
        <w:t>Notch</w:t>
      </w:r>
    </w:p>
    <w:p>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w:t>
      </w:r>
      <w:r>
        <w:rPr>
          <w:rFonts w:hint="eastAsia" w:ascii="Times New Roman" w:hAnsi="Times New Roman" w:cs="Times New Roman"/>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hint="eastAsia" w:ascii="Times New Roman" w:hAnsi="Times New Roman" w:cs="Times New Roman"/>
          <w:sz w:val="20"/>
          <w:szCs w:val="20"/>
        </w:rPr>
        <w:t>know more</w:t>
      </w:r>
      <w:r>
        <w:rPr>
          <w:rFonts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Search strategy</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hint="eastAsia" w:ascii="Times New Roman" w:hAnsi="Times New Roman" w:eastAsia="宋体" w:cs="Times New Roman"/>
          <w:i/>
          <w:color w:val="7F7F7F" w:themeColor="background1" w:themeShade="80"/>
          <w:kern w:val="0"/>
          <w:sz w:val="18"/>
          <w:szCs w:val="18"/>
        </w:rPr>
        <w:t>Data extraction, synthesis and analysis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3"/>
          <w:rFonts w:ascii="Times New Roman" w:hAnsi="Times New Roman" w:cs="Times New Roman"/>
          <w:b/>
          <w:bCs/>
          <w:i/>
          <w:iCs/>
          <w:color w:val="7F7F7F" w:themeColor="background1" w:themeShade="80"/>
          <w:sz w:val="18"/>
          <w:szCs w:val="18"/>
        </w:rPr>
        <w:t>http://www.wma.net/en/30publications/10policies/b3/</w:t>
      </w:r>
      <w:r>
        <w:rPr>
          <w:rStyle w:val="13"/>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hint="eastAsia" w:ascii="Times New Roman" w:hAnsi="Times New Roman" w:cs="Times New Roman"/>
          <w:sz w:val="20"/>
          <w:szCs w:val="20"/>
        </w:rPr>
        <w:t>description of statistics</w:t>
      </w:r>
      <w:r>
        <w:rPr>
          <w:rFonts w:ascii="Times New Roman" w:hAnsi="Times New Roman" w:cs="Times New Roman"/>
          <w:sz w:val="20"/>
          <w:szCs w:val="20"/>
        </w:rPr>
        <w:t xml:space="preserve">, analysis, </w:t>
      </w:r>
      <w:r>
        <w:rPr>
          <w:rFonts w:hint="eastAsia" w:ascii="Times New Roman" w:hAnsi="Times New Roman" w:cs="Times New Roman"/>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"http://www.oaepublish.com/files/tpl/mis/Template_for_Supplementary_Material_mis.docx"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1256"/>
        <w:gridCol w:w="1211"/>
        <w:gridCol w:w="1159"/>
        <w:gridCol w:w="1179"/>
        <w:gridCol w:w="913"/>
        <w:gridCol w:w="1250"/>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392" w:type="dxa"/>
            <w:tcBorders>
              <w:top w:val="single" w:color="auto" w:sz="8" w:space="0"/>
              <w:left w:val="nil"/>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Ref.</w:t>
            </w:r>
          </w:p>
        </w:tc>
        <w:tc>
          <w:tcPr>
            <w:tcW w:w="1256"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Country</w:t>
            </w:r>
          </w:p>
        </w:tc>
        <w:tc>
          <w:tcPr>
            <w:tcW w:w="1211"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eastAsia="宋体" w:cs="Times New Roman"/>
                <w:b/>
                <w:i w:val="0"/>
                <w:sz w:val="18"/>
                <w:szCs w:val="18"/>
                <w:lang w:val="de-DE" w:eastAsia="zh-CN"/>
              </w:rPr>
              <w:t>Study type</w:t>
            </w:r>
          </w:p>
        </w:tc>
        <w:tc>
          <w:tcPr>
            <w:tcW w:w="1159"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Years of study</w:t>
            </w:r>
          </w:p>
        </w:tc>
        <w:tc>
          <w:tcPr>
            <w:tcW w:w="1179"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Group</w:t>
            </w:r>
          </w:p>
        </w:tc>
        <w:tc>
          <w:tcPr>
            <w:tcW w:w="913"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Sample size</w:t>
            </w:r>
          </w:p>
        </w:tc>
        <w:tc>
          <w:tcPr>
            <w:tcW w:w="1250"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92" w:type="dxa"/>
            <w:vMerge w:val="restart"/>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Boyle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r>
              <w:rPr>
                <w:rFonts w:hint="eastAsia" w:ascii="Times New Roman" w:hAnsi="Times New Roman" w:cs="Times New Roman" w:eastAsiaTheme="minorEastAsia"/>
                <w:sz w:val="18"/>
                <w:szCs w:val="18"/>
                <w:lang w:val="de-DE" w:eastAsia="zh-CN"/>
              </w:rPr>
              <w:t>, 1983</w:t>
            </w:r>
          </w:p>
        </w:tc>
        <w:tc>
          <w:tcPr>
            <w:tcW w:w="1256" w:type="dxa"/>
            <w:vMerge w:val="restart"/>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United States</w:t>
            </w:r>
          </w:p>
        </w:tc>
        <w:tc>
          <w:tcPr>
            <w:tcW w:w="1211" w:type="dxa"/>
            <w:vMerge w:val="restart"/>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1977-1981</w:t>
            </w:r>
          </w:p>
        </w:tc>
        <w:tc>
          <w:tcPr>
            <w:tcW w:w="1179"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Control</w:t>
            </w:r>
          </w:p>
        </w:tc>
        <w:tc>
          <w:tcPr>
            <w:tcW w:w="913"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540</w:t>
            </w:r>
          </w:p>
        </w:tc>
        <w:tc>
          <w:tcPr>
            <w:tcW w:w="1250"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54 </w:t>
            </w:r>
            <w:bookmarkStart w:id="2" w:name="OLE_LINK3"/>
            <w:r>
              <w:rPr>
                <w:rFonts w:ascii="Times New Roman" w:hAnsi="Times New Roman" w:cs="Times New Roman" w:eastAsiaTheme="minorEastAsia"/>
                <w:sz w:val="18"/>
                <w:szCs w:val="18"/>
                <w:lang w:val="de-DE" w:eastAsia="zh-CN"/>
              </w:rPr>
              <w:t>±</w:t>
            </w:r>
            <w:bookmarkEnd w:id="2"/>
            <w:r>
              <w:rPr>
                <w:rFonts w:hint="eastAsia" w:ascii="Times New Roman" w:hAnsi="Times New Roman" w:cs="Times New Roman" w:eastAsiaTheme="minorEastAsia"/>
                <w:sz w:val="18"/>
                <w:szCs w:val="18"/>
                <w:lang w:val="de-DE" w:eastAsia="zh-CN"/>
              </w:rPr>
              <w:t xml:space="preserve"> 2</w:t>
            </w:r>
            <w:r>
              <w:rPr>
                <w:rFonts w:ascii="Times New Roman" w:hAnsi="Times New Roman" w:eastAsia="宋体" w:cs="Times New Roman"/>
                <w:bCs/>
                <w:sz w:val="16"/>
                <w:szCs w:val="16"/>
                <w:vertAlign w:val="superscript"/>
                <w:lang w:val="de-DE"/>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92" w:type="dxa"/>
            <w:vMerge w:val="continue"/>
            <w:vAlign w:val="center"/>
          </w:tcPr>
          <w:p>
            <w:pPr>
              <w:pStyle w:val="20"/>
              <w:spacing w:line="360" w:lineRule="auto"/>
              <w:jc w:val="left"/>
              <w:rPr>
                <w:lang w:val="de-DE"/>
              </w:rPr>
            </w:pPr>
          </w:p>
        </w:tc>
        <w:tc>
          <w:tcPr>
            <w:tcW w:w="1256" w:type="dxa"/>
            <w:vMerge w:val="continue"/>
            <w:vAlign w:val="center"/>
          </w:tcPr>
          <w:p>
            <w:pPr>
              <w:pStyle w:val="20"/>
              <w:spacing w:line="360" w:lineRule="auto"/>
              <w:jc w:val="left"/>
              <w:rPr>
                <w:lang w:val="de-DE"/>
              </w:rPr>
            </w:pPr>
          </w:p>
        </w:tc>
        <w:tc>
          <w:tcPr>
            <w:tcW w:w="1211" w:type="dxa"/>
            <w:vMerge w:val="continue"/>
            <w:vAlign w:val="center"/>
          </w:tcPr>
          <w:p>
            <w:pPr>
              <w:pStyle w:val="20"/>
              <w:spacing w:line="360" w:lineRule="auto"/>
              <w:jc w:val="left"/>
              <w:rPr>
                <w:lang w:val="de-DE"/>
              </w:rPr>
            </w:pPr>
          </w:p>
        </w:tc>
        <w:tc>
          <w:tcPr>
            <w:tcW w:w="1159" w:type="dxa"/>
            <w:vMerge w:val="continue"/>
            <w:vAlign w:val="center"/>
          </w:tcPr>
          <w:p>
            <w:pPr>
              <w:pStyle w:val="20"/>
              <w:spacing w:line="360" w:lineRule="auto"/>
              <w:jc w:val="left"/>
              <w:rPr>
                <w:lang w:val="de-DE"/>
              </w:rPr>
            </w:pPr>
          </w:p>
        </w:tc>
        <w:tc>
          <w:tcPr>
            <w:tcW w:w="1179"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CKD (mix)</w:t>
            </w:r>
          </w:p>
        </w:tc>
        <w:tc>
          <w:tcPr>
            <w:tcW w:w="913"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720</w:t>
            </w:r>
          </w:p>
        </w:tc>
        <w:tc>
          <w:tcPr>
            <w:tcW w:w="1250"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59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4</w:t>
            </w:r>
            <w:r>
              <w:rPr>
                <w:rFonts w:ascii="Times New Roman" w:hAnsi="Times New Roman" w:eastAsia="宋体" w:cs="Times New Roman"/>
                <w:bCs/>
                <w:sz w:val="16"/>
                <w:szCs w:val="16"/>
                <w:vertAlign w:val="superscript"/>
                <w:lang w:val="de-DE"/>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Tsai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r>
              <w:rPr>
                <w:rFonts w:hint="eastAsia" w:ascii="Times New Roman" w:hAnsi="Times New Roman" w:cs="Times New Roman" w:eastAsiaTheme="minorEastAsia"/>
                <w:sz w:val="18"/>
                <w:szCs w:val="18"/>
                <w:lang w:val="de-DE" w:eastAsia="zh-CN"/>
              </w:rPr>
              <w:t>, 1996</w:t>
            </w:r>
          </w:p>
        </w:tc>
        <w:tc>
          <w:tcPr>
            <w:tcW w:w="1256" w:type="dxa"/>
            <w:vMerge w:val="restart"/>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Taiwan</w:t>
            </w:r>
          </w:p>
        </w:tc>
        <w:tc>
          <w:tcPr>
            <w:tcW w:w="1211" w:type="dxa"/>
            <w:vMerge w:val="restart"/>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Prospective</w:t>
            </w:r>
          </w:p>
        </w:tc>
        <w:tc>
          <w:tcPr>
            <w:tcW w:w="1159" w:type="dxa"/>
            <w:vMerge w:val="restart"/>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1991-1994</w:t>
            </w:r>
          </w:p>
        </w:tc>
        <w:tc>
          <w:tcPr>
            <w:tcW w:w="1179"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640</w:t>
            </w:r>
          </w:p>
        </w:tc>
        <w:tc>
          <w:tcPr>
            <w:tcW w:w="125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55.7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16.2</w:t>
            </w:r>
            <w:bookmarkStart w:id="3" w:name="OLE_LINK2"/>
            <w:r>
              <w:rPr>
                <w:rFonts w:ascii="Times New Roman" w:hAnsi="Times New Roman" w:eastAsia="宋体" w:cs="Times New Roman"/>
                <w:bCs/>
                <w:sz w:val="16"/>
                <w:szCs w:val="16"/>
                <w:vertAlign w:val="superscript"/>
                <w:lang w:val="de-DE"/>
              </w:rPr>
              <w:t>#</w:t>
            </w:r>
            <w:bookmarkEnd w:id="3"/>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pPr>
              <w:pStyle w:val="20"/>
              <w:spacing w:line="360" w:lineRule="auto"/>
              <w:jc w:val="left"/>
              <w:rPr>
                <w:lang w:val="de-DE"/>
              </w:rPr>
            </w:pPr>
          </w:p>
        </w:tc>
        <w:tc>
          <w:tcPr>
            <w:tcW w:w="1256" w:type="dxa"/>
            <w:vMerge w:val="continue"/>
            <w:vAlign w:val="center"/>
          </w:tcPr>
          <w:p>
            <w:pPr>
              <w:pStyle w:val="20"/>
              <w:spacing w:line="360" w:lineRule="auto"/>
              <w:jc w:val="left"/>
              <w:rPr>
                <w:lang w:val="de-DE"/>
              </w:rPr>
            </w:pPr>
          </w:p>
        </w:tc>
        <w:tc>
          <w:tcPr>
            <w:tcW w:w="1211" w:type="dxa"/>
            <w:vMerge w:val="continue"/>
            <w:vAlign w:val="center"/>
          </w:tcPr>
          <w:p>
            <w:pPr>
              <w:pStyle w:val="20"/>
              <w:spacing w:line="360" w:lineRule="auto"/>
              <w:jc w:val="left"/>
              <w:rPr>
                <w:lang w:val="de-DE"/>
              </w:rPr>
            </w:pPr>
          </w:p>
        </w:tc>
        <w:tc>
          <w:tcPr>
            <w:tcW w:w="1159" w:type="dxa"/>
            <w:vMerge w:val="continue"/>
            <w:vAlign w:val="center"/>
          </w:tcPr>
          <w:p>
            <w:pPr>
              <w:pStyle w:val="20"/>
              <w:spacing w:line="360" w:lineRule="auto"/>
              <w:jc w:val="left"/>
              <w:rPr>
                <w:lang w:val="de-DE"/>
              </w:rPr>
            </w:pPr>
          </w:p>
        </w:tc>
        <w:tc>
          <w:tcPr>
            <w:tcW w:w="1179"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5658</w:t>
            </w:r>
          </w:p>
        </w:tc>
        <w:tc>
          <w:tcPr>
            <w:tcW w:w="125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64.1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11.4</w:t>
            </w:r>
            <w:r>
              <w:rPr>
                <w:rFonts w:ascii="Times New Roman" w:hAnsi="Times New Roman" w:eastAsia="宋体" w:cs="Times New Roman"/>
                <w:bCs/>
                <w:sz w:val="16"/>
                <w:szCs w:val="16"/>
                <w:vertAlign w:val="superscript"/>
                <w:lang w:val="de-DE"/>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pPr>
              <w:pStyle w:val="20"/>
              <w:spacing w:line="360" w:lineRule="auto"/>
              <w:jc w:val="left"/>
              <w:rPr>
                <w:lang w:val="de-DE"/>
              </w:rPr>
            </w:pPr>
            <w:r>
              <w:rPr>
                <w:rFonts w:hint="eastAsia" w:ascii="Times New Roman" w:hAnsi="Times New Roman" w:cs="Times New Roman" w:eastAsiaTheme="minorEastAsia"/>
                <w:sz w:val="18"/>
                <w:szCs w:val="18"/>
                <w:lang w:val="de-DE" w:eastAsia="zh-CN"/>
              </w:rPr>
              <w:t xml:space="preserve">Cheung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[3]</w:t>
            </w:r>
            <w:r>
              <w:rPr>
                <w:rFonts w:hint="eastAsia" w:ascii="Times New Roman" w:hAnsi="Times New Roman" w:cs="Times New Roman" w:eastAsiaTheme="minorEastAsia"/>
                <w:sz w:val="18"/>
                <w:szCs w:val="18"/>
                <w:lang w:val="de-DE" w:eastAsia="zh-CN"/>
              </w:rPr>
              <w:t>, 2010</w:t>
            </w:r>
          </w:p>
        </w:tc>
        <w:tc>
          <w:tcPr>
            <w:tcW w:w="1256" w:type="dxa"/>
            <w:vMerge w:val="restart"/>
            <w:vAlign w:val="center"/>
          </w:tcPr>
          <w:p>
            <w:pPr>
              <w:pStyle w:val="20"/>
              <w:spacing w:line="360" w:lineRule="auto"/>
              <w:jc w:val="left"/>
              <w:rPr>
                <w:rFonts w:eastAsia="宋体"/>
                <w:lang w:val="de-DE" w:eastAsia="zh-CN"/>
              </w:rPr>
            </w:pPr>
            <w:r>
              <w:rPr>
                <w:rFonts w:hint="eastAsia" w:ascii="Times New Roman" w:hAnsi="Times New Roman" w:cs="Times New Roman" w:eastAsiaTheme="minorEastAsia"/>
                <w:sz w:val="18"/>
                <w:szCs w:val="18"/>
                <w:lang w:val="de-DE" w:eastAsia="zh-CN"/>
              </w:rPr>
              <w:t>Canada</w:t>
            </w:r>
          </w:p>
        </w:tc>
        <w:tc>
          <w:tcPr>
            <w:tcW w:w="1211" w:type="dxa"/>
            <w:vMerge w:val="restart"/>
            <w:vAlign w:val="center"/>
          </w:tcPr>
          <w:p>
            <w:pPr>
              <w:pStyle w:val="20"/>
              <w:spacing w:line="360" w:lineRule="auto"/>
              <w:jc w:val="left"/>
              <w:rPr>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pPr>
              <w:pStyle w:val="20"/>
              <w:spacing w:line="360" w:lineRule="auto"/>
              <w:jc w:val="left"/>
              <w:rPr>
                <w:lang w:val="de-DE"/>
              </w:rPr>
            </w:pPr>
            <w:r>
              <w:rPr>
                <w:rFonts w:hint="eastAsia" w:ascii="Times New Roman" w:hAnsi="Times New Roman" w:eastAsia="宋体" w:cs="Times New Roman"/>
                <w:sz w:val="18"/>
                <w:szCs w:val="18"/>
                <w:lang w:val="de-DE" w:eastAsia="zh-CN"/>
              </w:rPr>
              <w:t>2000-2006</w:t>
            </w:r>
          </w:p>
        </w:tc>
        <w:tc>
          <w:tcPr>
            <w:tcW w:w="1179"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850</w:t>
            </w:r>
          </w:p>
        </w:tc>
        <w:tc>
          <w:tcPr>
            <w:tcW w:w="125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pPr>
              <w:pStyle w:val="20"/>
              <w:spacing w:line="360" w:lineRule="auto"/>
              <w:jc w:val="left"/>
              <w:rPr>
                <w:lang w:val="de-DE"/>
              </w:rPr>
            </w:pPr>
          </w:p>
        </w:tc>
        <w:tc>
          <w:tcPr>
            <w:tcW w:w="1256" w:type="dxa"/>
            <w:vMerge w:val="continue"/>
            <w:vAlign w:val="center"/>
          </w:tcPr>
          <w:p>
            <w:pPr>
              <w:pStyle w:val="20"/>
              <w:spacing w:line="360" w:lineRule="auto"/>
              <w:jc w:val="left"/>
              <w:rPr>
                <w:lang w:val="de-DE"/>
              </w:rPr>
            </w:pPr>
          </w:p>
        </w:tc>
        <w:tc>
          <w:tcPr>
            <w:tcW w:w="1211" w:type="dxa"/>
            <w:vMerge w:val="continue"/>
            <w:vAlign w:val="center"/>
          </w:tcPr>
          <w:p>
            <w:pPr>
              <w:pStyle w:val="20"/>
              <w:spacing w:line="360" w:lineRule="auto"/>
              <w:jc w:val="left"/>
              <w:rPr>
                <w:lang w:val="de-DE"/>
              </w:rPr>
            </w:pPr>
          </w:p>
        </w:tc>
        <w:tc>
          <w:tcPr>
            <w:tcW w:w="1159" w:type="dxa"/>
            <w:vMerge w:val="continue"/>
            <w:vAlign w:val="center"/>
          </w:tcPr>
          <w:p>
            <w:pPr>
              <w:pStyle w:val="20"/>
              <w:spacing w:line="360" w:lineRule="auto"/>
              <w:jc w:val="left"/>
              <w:rPr>
                <w:lang w:val="de-DE"/>
              </w:rPr>
            </w:pPr>
          </w:p>
        </w:tc>
        <w:tc>
          <w:tcPr>
            <w:tcW w:w="1179"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CKD</w:t>
            </w:r>
          </w:p>
        </w:tc>
        <w:tc>
          <w:tcPr>
            <w:tcW w:w="91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250</w:t>
            </w:r>
          </w:p>
        </w:tc>
        <w:tc>
          <w:tcPr>
            <w:tcW w:w="125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71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92" w:type="dxa"/>
            <w:vMerge w:val="continue"/>
            <w:vAlign w:val="center"/>
          </w:tcPr>
          <w:p>
            <w:pPr>
              <w:pStyle w:val="20"/>
              <w:spacing w:line="360" w:lineRule="auto"/>
              <w:jc w:val="left"/>
              <w:rPr>
                <w:rFonts w:ascii="Times New Roman" w:hAnsi="Times New Roman" w:eastAsia="宋体" w:cs="Times New Roman"/>
                <w:sz w:val="18"/>
                <w:szCs w:val="18"/>
                <w:lang w:val="de-DE" w:eastAsia="zh-CN"/>
              </w:rPr>
            </w:pPr>
          </w:p>
        </w:tc>
        <w:tc>
          <w:tcPr>
            <w:tcW w:w="1256" w:type="dxa"/>
            <w:vMerge w:val="continue"/>
            <w:vAlign w:val="center"/>
          </w:tcPr>
          <w:p>
            <w:pPr>
              <w:pStyle w:val="20"/>
              <w:spacing w:line="360" w:lineRule="auto"/>
              <w:jc w:val="left"/>
              <w:rPr>
                <w:rFonts w:ascii="Times New Roman" w:hAnsi="Times New Roman" w:eastAsia="宋体" w:cs="Times New Roman"/>
                <w:sz w:val="18"/>
                <w:szCs w:val="18"/>
                <w:lang w:val="de-DE" w:eastAsia="zh-CN"/>
              </w:rPr>
            </w:pPr>
          </w:p>
        </w:tc>
        <w:tc>
          <w:tcPr>
            <w:tcW w:w="1211" w:type="dxa"/>
            <w:vMerge w:val="continue"/>
            <w:vAlign w:val="center"/>
          </w:tcPr>
          <w:p>
            <w:pPr>
              <w:pStyle w:val="20"/>
              <w:spacing w:line="360" w:lineRule="auto"/>
              <w:jc w:val="left"/>
              <w:rPr>
                <w:rFonts w:ascii="Times New Roman" w:hAnsi="Times New Roman" w:eastAsia="宋体" w:cs="Times New Roman"/>
                <w:sz w:val="18"/>
                <w:szCs w:val="18"/>
                <w:lang w:val="de-DE" w:eastAsia="zh-CN"/>
              </w:rPr>
            </w:pPr>
          </w:p>
        </w:tc>
        <w:tc>
          <w:tcPr>
            <w:tcW w:w="1159" w:type="dxa"/>
            <w:vMerge w:val="continue"/>
            <w:vAlign w:val="center"/>
          </w:tcPr>
          <w:p>
            <w:pPr>
              <w:pStyle w:val="20"/>
              <w:spacing w:line="360" w:lineRule="auto"/>
              <w:jc w:val="left"/>
              <w:rPr>
                <w:rFonts w:ascii="Times New Roman" w:hAnsi="Times New Roman" w:eastAsia="宋体" w:cs="Times New Roman"/>
                <w:sz w:val="18"/>
                <w:szCs w:val="18"/>
                <w:lang w:val="de-DE" w:eastAsia="zh-CN"/>
              </w:rPr>
            </w:pPr>
          </w:p>
        </w:tc>
        <w:tc>
          <w:tcPr>
            <w:tcW w:w="1179"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1650</w:t>
            </w:r>
          </w:p>
        </w:tc>
        <w:tc>
          <w:tcPr>
            <w:tcW w:w="1250"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68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12</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SEM (standard error of mean)</w:t>
      </w:r>
      <w:r>
        <w:rPr>
          <w:rFonts w:ascii="Times New Roman" w:hAnsi="Times New Roman" w:eastAsia="宋体" w:cs="Times New Roman"/>
          <w:bCs/>
          <w:color w:val="000000"/>
          <w:kern w:val="0"/>
          <w:sz w:val="16"/>
          <w:szCs w:val="16"/>
        </w:rPr>
        <w:t xml:space="preserve">,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SD (standard deviation)</w:t>
      </w:r>
      <w:r>
        <w:rPr>
          <w:rFonts w:ascii="Times New Roman" w:hAnsi="Times New Roman" w:eastAsia="宋体" w:cs="Times New Roman"/>
          <w:bCs/>
          <w:color w:val="000000"/>
          <w:kern w:val="0"/>
          <w:sz w:val="16"/>
          <w:szCs w:val="16"/>
        </w:rPr>
        <w:t>.</w:t>
      </w:r>
      <w:r>
        <w:rPr>
          <w:rFonts w:hint="eastAsia" w:ascii="Times New Roman" w:hAnsi="Times New Roman" w:eastAsia="宋体" w:cs="Times New Roman"/>
          <w:bCs/>
          <w:color w:val="000000"/>
          <w:kern w:val="0"/>
          <w:sz w:val="16"/>
          <w:szCs w:val="16"/>
        </w:rPr>
        <w:t xml:space="preserve"> CKD: chronic kidney disease; </w:t>
      </w:r>
      <w:r>
        <w:rPr>
          <w:rFonts w:hint="eastAsia" w:ascii="Times New Roman" w:hAnsi="Times New Roman" w:eastAsia="宋体" w:cs="Times New Roman"/>
          <w:color w:val="000000"/>
          <w:kern w:val="0"/>
          <w:sz w:val="16"/>
          <w:szCs w:val="16"/>
        </w:rPr>
        <w:t>ESRD</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end-stage renal disease.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kern w:val="0"/>
          <w:sz w:val="16"/>
          <w:szCs w:val="16"/>
        </w:rPr>
        <w:t>et al</w:t>
      </w:r>
      <w:r>
        <w:rPr>
          <w:rFonts w:ascii="Times New Roman" w:hAnsi="Times New Roman" w:eastAsia="宋体" w:cs="Times New Roman"/>
          <w:bCs/>
          <w:color w:val="000000"/>
          <w:kern w:val="0"/>
          <w:sz w:val="16"/>
          <w:szCs w:val="16"/>
        </w:rPr>
        <w:t>.</w:t>
      </w:r>
      <w:r>
        <w:rPr>
          <w:rFonts w:ascii="Times New Roman" w:hAnsi="Times New Roman" w:eastAsia="宋体" w:cs="Times New Roman"/>
          <w:bCs/>
          <w:color w:val="000000"/>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widowControl/>
        <w:numPr>
          <w:ilvl w:val="0"/>
          <w:numId w:val="3"/>
        </w:numPr>
        <w:shd w:val="clear" w:color="auto" w:fill="FFFFFF"/>
        <w:adjustRightInd w:val="0"/>
        <w:snapToGrid w:val="0"/>
        <w:spacing w:after="156" w:afterLines="50"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pStyle w:val="24"/>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1" cstate="print"/>
                          <a:srcRect l="3164" t="6153" b="8690"/>
                          <a:stretch>
                            <a:fillRect/>
                          </a:stretch>
                        </pic:blipFill>
                        <pic:spPr>
                          <a:xfrm>
                            <a:off x="0" y="0"/>
                            <a:ext cx="2377440" cy="1567815"/>
                          </a:xfrm>
                          <a:prstGeom prst="rect">
                            <a:avLst/>
                          </a:prstGeom>
                        </pic:spPr>
                      </pic:pic>
                    </a:graphicData>
                  </a:graphic>
                </wp:inline>
              </w:drawing>
            </w:r>
          </w:p>
          <w:p>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2" cstate="print"/>
                          <a:srcRect/>
                          <a:stretch>
                            <a:fillRect/>
                          </a:stretch>
                        </pic:blipFill>
                        <pic:spPr>
                          <a:xfrm>
                            <a:off x="0" y="0"/>
                            <a:ext cx="2377440" cy="1567815"/>
                          </a:xfrm>
                          <a:prstGeom prst="rect">
                            <a:avLst/>
                          </a:prstGeom>
                        </pic:spPr>
                      </pic:pic>
                    </a:graphicData>
                  </a:graphic>
                </wp:inline>
              </w:drawing>
            </w:r>
          </w:p>
          <w:p>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sz w:val="20"/>
                <w:lang w:eastAsia="zh-CN" w:bidi="ar-SA"/>
              </w:rPr>
              <w:drawing>
                <wp:inline distT="0" distB="0" distL="114300" distR="114300">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3" cstate="print"/>
                          <a:stretch>
                            <a:fillRect/>
                          </a:stretch>
                        </pic:blipFill>
                        <pic:spPr>
                          <a:xfrm>
                            <a:off x="0" y="0"/>
                            <a:ext cx="2486660" cy="1637665"/>
                          </a:xfrm>
                          <a:prstGeom prst="rect">
                            <a:avLst/>
                          </a:prstGeom>
                        </pic:spPr>
                      </pic:pic>
                    </a:graphicData>
                  </a:graphic>
                </wp:inline>
              </w:drawing>
            </w:r>
          </w:p>
          <w:p>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color w:val="auto"/>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w:t>
      </w:r>
      <w:r>
        <w:rPr>
          <w:rFonts w:hint="eastAsia" w:ascii="Times New Roman" w:hAnsi="Times New Roman" w:eastAsia="宋体" w:cs="Times New Roman"/>
          <w:color w:val="000000"/>
          <w:kern w:val="0"/>
          <w:sz w:val="20"/>
          <w:szCs w:val="20"/>
        </w:rPr>
        <w:t>flow diagram</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forest plot</w:t>
      </w:r>
      <w:r>
        <w:rPr>
          <w:rFonts w:ascii="Times New Roman" w:hAnsi="Times New Roman" w:eastAsia="宋体" w:cs="Times New Roman"/>
          <w:color w:val="000000"/>
          <w:kern w:val="0"/>
          <w:sz w:val="20"/>
          <w:szCs w:val="20"/>
        </w:rPr>
        <w:t xml:space="preserve"> and </w:t>
      </w:r>
      <w:r>
        <w:rPr>
          <w:rFonts w:hint="eastAsia" w:ascii="Times New Roman" w:hAnsi="Times New Roman" w:eastAsia="宋体" w:cs="Times New Roman"/>
          <w:color w:val="000000"/>
          <w:kern w:val="0"/>
          <w:sz w:val="20"/>
          <w:szCs w:val="20"/>
        </w:rPr>
        <w:t>funnel</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plot</w:t>
      </w:r>
      <w:r>
        <w:rPr>
          <w:rFonts w:ascii="Times New Roman" w:hAnsi="Times New Roman" w:eastAsia="宋体"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w:t>
      </w:r>
      <w:r>
        <w:rPr>
          <w:rFonts w:hint="eastAsia" w:ascii="Times New Roman" w:hAnsi="Times New Roman" w:cs="Times New Roman"/>
          <w:sz w:val="20"/>
          <w:szCs w:val="20"/>
        </w:rPr>
        <w:t>CI</w:t>
      </w:r>
      <w:r>
        <w:rPr>
          <w:rFonts w:ascii="Times New Roman" w:hAnsi="Times New Roman" w:cs="Times New Roman"/>
          <w:sz w:val="20"/>
          <w:szCs w:val="20"/>
        </w:rPr>
        <w:t xml:space="preserve">: </w:t>
      </w:r>
      <w:r>
        <w:rPr>
          <w:rFonts w:hint="eastAsia" w:ascii="Times New Roman" w:hAnsi="Times New Roman" w:cs="Times New Roman"/>
          <w:sz w:val="20"/>
          <w:szCs w:val="20"/>
        </w:rPr>
        <w:t>confidence interval</w:t>
      </w:r>
      <w:r>
        <w:rPr>
          <w:rFonts w:ascii="Times New Roman" w:hAnsi="Times New Roman" w:cs="Times New Roman"/>
          <w:sz w:val="20"/>
          <w:szCs w:val="20"/>
        </w:rPr>
        <w:t xml:space="preserve">; </w:t>
      </w:r>
      <w:r>
        <w:rPr>
          <w:rFonts w:hint="eastAsia" w:ascii="Times New Roman" w:hAnsi="Times New Roman" w:cs="Times New Roman"/>
          <w:sz w:val="20"/>
          <w:szCs w:val="20"/>
        </w:rPr>
        <w:t>SE</w:t>
      </w:r>
      <w:r>
        <w:rPr>
          <w:rFonts w:ascii="Times New Roman" w:hAnsi="Times New Roman" w:cs="Times New Roman"/>
          <w:sz w:val="20"/>
          <w:szCs w:val="20"/>
        </w:rPr>
        <w:t xml:space="preserve">: </w:t>
      </w:r>
      <w:r>
        <w:rPr>
          <w:rFonts w:hint="eastAsia" w:ascii="Times New Roman" w:hAnsi="Times New Roman" w:cs="Times New Roman"/>
          <w:sz w:val="20"/>
          <w:szCs w:val="20"/>
        </w:rPr>
        <w:t>standard error; OR: odds ratio</w:t>
      </w:r>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4" w:name="OLE_LINK15"/>
      <w:bookmarkStart w:id="5" w:name="OLE_LINK14"/>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4"/>
      <w:r>
        <w:rPr>
          <w:rFonts w:ascii="Times New Roman" w:hAnsi="Times New Roman" w:cs="Times New Roman"/>
          <w:b/>
          <w:bCs/>
          <w:i/>
          <w:iCs/>
          <w:color w:val="7F7F7F" w:themeColor="background1" w:themeShade="80"/>
          <w:sz w:val="18"/>
          <w:szCs w:val="18"/>
        </w:rPr>
        <w:t>data or other material</w:t>
      </w:r>
      <w:r>
        <w:rPr>
          <w:rFonts w:hint="eastAsia" w:ascii="Times New Roman" w:hAnsi="Times New Roman" w:cs="Times New Roman"/>
          <w:b/>
          <w:bCs/>
          <w:i/>
          <w:iCs/>
          <w:color w:val="7F7F7F" w:themeColor="background1" w:themeShade="80"/>
          <w:sz w:val="18"/>
          <w:szCs w:val="18"/>
        </w:rPr>
        <w:t>s</w:t>
      </w:r>
      <w:r>
        <w:rPr>
          <w:rFonts w:ascii="Times New Roman" w:hAnsi="Times New Roman" w:cs="Times New Roman"/>
          <w:b/>
          <w:bCs/>
          <w:i/>
          <w:iCs/>
          <w:color w:val="7F7F7F" w:themeColor="background1" w:themeShade="80"/>
          <w:sz w:val="18"/>
          <w:szCs w:val="18"/>
        </w:rPr>
        <w:t xml:space="preserve"> given in the Introduction or the Results section</w:t>
      </w:r>
      <w:bookmarkEnd w:id="5"/>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pPr>
        <w:widowControl/>
        <w:adjustRightInd w:val="0"/>
        <w:snapToGrid w:val="0"/>
        <w:spacing w:before="156" w:beforeLines="50" w:line="260" w:lineRule="atLeast"/>
        <w:rPr>
          <w:rFonts w:hint="eastAsia" w:ascii="Times New Roman" w:hAnsi="Times New Roman" w:cs="Times New Roman"/>
          <w:b/>
          <w:bCs/>
          <w:sz w:val="20"/>
          <w:szCs w:val="20"/>
          <w:highlight w:val="yellow"/>
        </w:rPr>
      </w:pPr>
      <w:r>
        <w:rPr>
          <w:rFonts w:hint="eastAsia" w:ascii="Times New Roman" w:hAnsi="Times New Roman" w:cs="Times New Roman"/>
          <w:b/>
          <w:bCs/>
          <w:sz w:val="20"/>
          <w:szCs w:val="20"/>
          <w:highlight w:val="yellow"/>
        </w:rPr>
        <w:t xml:space="preserve">AI and AI-assisted tools </w:t>
      </w:r>
      <w:r>
        <w:rPr>
          <w:rFonts w:hint="eastAsia" w:ascii="Times New Roman" w:hAnsi="Times New Roman" w:cs="Times New Roman"/>
          <w:b/>
          <w:bCs/>
          <w:sz w:val="20"/>
          <w:szCs w:val="20"/>
          <w:highlight w:val="yellow"/>
          <w:lang w:val="en-US" w:eastAsia="zh-CN"/>
        </w:rPr>
        <w:t>s</w:t>
      </w:r>
      <w:r>
        <w:rPr>
          <w:rFonts w:hint="eastAsia" w:ascii="Times New Roman" w:hAnsi="Times New Roman" w:cs="Times New Roman"/>
          <w:b/>
          <w:bCs/>
          <w:sz w:val="20"/>
          <w:szCs w:val="20"/>
          <w:highlight w:val="yellow"/>
        </w:rPr>
        <w:t>tatement</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highlight w:val="yellow"/>
        </w:rPr>
        <w:t xml:space="preserve">If the manuscript does not involve this issue, state </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Not applicable.</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 xml:space="preserve"> in this section.</w:t>
      </w:r>
      <w:bookmarkStart w:id="11" w:name="_GoBack"/>
      <w:bookmarkEnd w:id="11"/>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6" w:name="OLE_LINK10"/>
      <w:bookmarkStart w:id="7" w:name="OLE_LINK11"/>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360" w:lineRule="auto"/>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highlight w:val="yellow"/>
        </w:rPr>
      </w:pPr>
      <w:r>
        <w:rPr>
          <w:rFonts w:hint="eastAsia" w:ascii="Times New Roman" w:hAnsi="Times New Roman" w:cs="Times New Roman"/>
          <w:b/>
          <w:bCs/>
          <w:i/>
          <w:iCs/>
          <w:color w:val="7F7F7F" w:themeColor="background1" w:themeShade="80"/>
          <w:sz w:val="18"/>
          <w:szCs w:val="18"/>
          <w:highlight w:val="yellow"/>
        </w:rPr>
        <w:t>Top six</w:t>
      </w:r>
      <w:r>
        <w:rPr>
          <w:rFonts w:ascii="Times New Roman" w:hAnsi="Times New Roman" w:cs="Times New Roman"/>
          <w:b/>
          <w:bCs/>
          <w:i/>
          <w:iCs/>
          <w:color w:val="7F7F7F" w:themeColor="background1" w:themeShade="80"/>
          <w:sz w:val="18"/>
          <w:szCs w:val="18"/>
          <w:highlight w:val="yellow"/>
        </w:rPr>
        <w:t xml:space="preserve"> authors’ names should be listed in the references</w:t>
      </w:r>
      <w:r>
        <w:rPr>
          <w:rFonts w:hint="eastAsia" w:ascii="Times New Roman" w:hAnsi="Times New Roman" w:cs="Times New Roman"/>
          <w:b/>
          <w:bCs/>
          <w:i/>
          <w:iCs/>
          <w:color w:val="7F7F7F" w:themeColor="background1" w:themeShade="80"/>
          <w:sz w:val="18"/>
          <w:szCs w:val="18"/>
          <w:highlight w:val="yellow"/>
        </w:rPr>
        <w:t>;</w:t>
      </w:r>
      <w:r>
        <w:rPr>
          <w:rFonts w:ascii="Times New Roman" w:hAnsi="Times New Roman" w:cs="Times New Roman"/>
          <w:b/>
          <w:bCs/>
          <w:i/>
          <w:iCs/>
          <w:color w:val="7F7F7F" w:themeColor="background1" w:themeShade="80"/>
          <w:sz w:val="18"/>
          <w:szCs w:val="18"/>
          <w:highlight w:val="yellow"/>
        </w:rPr>
        <w:t xml:space="preserve"> </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7F7F7F" w:themeColor="background1" w:themeShade="80"/>
          <w:sz w:val="18"/>
          <w:szCs w:val="18"/>
        </w:rPr>
        <w:t>http://www2.bg.am.poznan.pl/czasopisma/medicus.php?lang=eng</w:t>
      </w:r>
      <w:r>
        <w:rPr>
          <w:rStyle w:val="13"/>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highlight w:val="yellow"/>
        </w:rPr>
        <w:t>The names of journals should be Italic.</w:t>
      </w:r>
    </w:p>
    <w:p>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color w:val="000000"/>
          <w:kern w:val="0"/>
          <w:sz w:val="20"/>
          <w:szCs w:val="20"/>
        </w:rPr>
        <w:t xml:space="preserve"> 2020;55:509-14.</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Weaver DL, Ashikaga T, Krag DN, et al. Effect of occult metastases on survival in node-negative breast cancer. N </w:t>
      </w:r>
      <w:r>
        <w:rPr>
          <w:rFonts w:hint="eastAsia" w:ascii="Times New Roman" w:hAnsi="Times New Roman" w:eastAsia="宋体" w:cs="Times New Roman"/>
          <w:i/>
          <w:iCs/>
          <w:color w:val="000000"/>
          <w:kern w:val="0"/>
          <w:sz w:val="20"/>
          <w:szCs w:val="20"/>
        </w:rPr>
        <w:t>Engl J Med </w:t>
      </w:r>
      <w:r>
        <w:rPr>
          <w:rFonts w:hint="eastAsia" w:ascii="Times New Roman" w:hAnsi="Times New Roman" w:eastAsia="宋体" w:cs="Times New Roman"/>
          <w:color w:val="000000"/>
          <w:kern w:val="0"/>
          <w:sz w:val="20"/>
          <w:szCs w:val="20"/>
        </w:rPr>
        <w:t>2011;364:412-21. [PMID: 21247310 DOI: 10.1056/NEJMoa1008108] </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 xml:space="preserve">Hypertension </w:t>
      </w:r>
      <w:r>
        <w:rPr>
          <w:rFonts w:ascii="Times New Roman" w:hAnsi="Times New Roman" w:eastAsia="宋体" w:cs="Times New Roman"/>
          <w:color w:val="000000"/>
          <w:kern w:val="0"/>
          <w:sz w:val="20"/>
          <w:szCs w:val="20"/>
        </w:rPr>
        <w:t>2002;40:679-86.</w:t>
      </w:r>
      <w:r>
        <w:rPr>
          <w:rFonts w:hint="eastAsia" w:ascii="Times New Roman" w:hAnsi="Times New Roman" w:eastAsia="宋体" w:cs="Times New Roman"/>
          <w:color w:val="000000"/>
          <w:kern w:val="0"/>
          <w:sz w:val="20"/>
          <w:szCs w:val="20"/>
        </w:rPr>
        <w:t xml:space="preserve"> [PMID: 12411462]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[PMID: 12771764 DOI: 10.1097/01.ju.0000067940.76090.73]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w:t>
      </w:r>
      <w:r>
        <w:rPr>
          <w:rFonts w:ascii="Times New Roman" w:hAnsi="Times New Roman" w:eastAsia="宋体" w:cs="Times New Roman"/>
          <w:i/>
          <w:color w:val="000000"/>
          <w:kern w:val="0"/>
          <w:sz w:val="20"/>
          <w:szCs w:val="20"/>
        </w:rPr>
        <w:t>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0"/>
          <w:szCs w:val="20"/>
        </w:rPr>
        <w:t>https://www.fda.gov/NewsEvents/Newsroom/PressAnnouncements/ucm574058.htm</w:t>
      </w:r>
      <w:r>
        <w:rPr>
          <w:rStyle w:val="13"/>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 xml:space="preserve">Proc Natl Acad Sci </w:t>
      </w:r>
      <w:r>
        <w:rPr>
          <w:rFonts w:ascii="Times New Roman" w:hAnsi="Times New Roman" w:eastAsia="宋体" w:cs="Times New Roman"/>
          <w:color w:val="000000"/>
          <w:kern w:val="0"/>
          <w:sz w:val="20"/>
          <w:szCs w:val="20"/>
        </w:rPr>
        <w:t>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w:t>
      </w:r>
      <w:r>
        <w:rPr>
          <w:rStyle w:val="13"/>
          <w:rFonts w:hint="eastAsia" w:ascii="Times New Roman" w:hAnsi="Times New Roman" w:eastAsia="宋体" w:cs="Times New Roman"/>
          <w:iCs/>
          <w:kern w:val="0"/>
          <w:sz w:val="20"/>
          <w:szCs w:val="20"/>
        </w:rPr>
        <w:t xml:space="preserve"> </w:t>
      </w:r>
      <w:r>
        <w:rPr>
          <w:rStyle w:val="13"/>
          <w:rFonts w:hint="eastAsia" w:ascii="Times New Roman" w:hAnsi="Times New Roman" w:eastAsia="宋体" w:cs="Times New Roman"/>
          <w:iCs/>
          <w:kern w:val="0"/>
          <w:sz w:val="20"/>
          <w:szCs w:val="20"/>
        </w:rPr>
        <w:fldChar w:fldCharType="begin"/>
      </w:r>
      <w:r>
        <w:rPr>
          <w:rStyle w:val="13"/>
          <w:rFonts w:hint="eastAsia" w:ascii="Times New Roman" w:hAnsi="Times New Roman" w:eastAsia="宋体" w:cs="Times New Roman"/>
          <w:iCs/>
          <w:kern w:val="0"/>
          <w:sz w:val="20"/>
          <w:szCs w:val="20"/>
        </w:rPr>
        <w:instrText xml:space="preserve"> HYPERLINK "https://resolver.caltech.edu/CaltechTHESIS:05102010-145436548" </w:instrText>
      </w:r>
      <w:r>
        <w:rPr>
          <w:rStyle w:val="13"/>
          <w:rFonts w:hint="eastAsia" w:ascii="Times New Roman" w:hAnsi="Times New Roman" w:eastAsia="宋体" w:cs="Times New Roman"/>
          <w:iCs/>
          <w:kern w:val="0"/>
          <w:sz w:val="20"/>
          <w:szCs w:val="20"/>
        </w:rPr>
        <w:fldChar w:fldCharType="separate"/>
      </w:r>
      <w:r>
        <w:rPr>
          <w:rStyle w:val="13"/>
          <w:rFonts w:hint="eastAsia" w:ascii="Times New Roman" w:hAnsi="Times New Roman" w:eastAsia="宋体" w:cs="Times New Roman"/>
          <w:iCs/>
          <w:kern w:val="0"/>
          <w:sz w:val="20"/>
          <w:szCs w:val="20"/>
        </w:rPr>
        <w:t>https://</w:t>
      </w:r>
      <w:r>
        <w:rPr>
          <w:rStyle w:val="13"/>
          <w:rFonts w:ascii="Times New Roman" w:hAnsi="Times New Roman" w:eastAsia="宋体" w:cs="Times New Roman"/>
          <w:iCs/>
          <w:kern w:val="0"/>
          <w:sz w:val="20"/>
          <w:szCs w:val="20"/>
        </w:rPr>
        <w:t>resolver.caltech.edu/CaltechTHESIS:05102010-145436548</w:t>
      </w:r>
      <w:r>
        <w:rPr>
          <w:rStyle w:val="13"/>
          <w:rFonts w:hint="eastAsia" w:ascii="Times New Roman" w:hAnsi="Times New Roman" w:eastAsia="宋体" w:cs="Times New Roman"/>
          <w:iCs/>
          <w:kern w:val="0"/>
          <w:sz w:val="20"/>
          <w:szCs w:val="20"/>
        </w:rPr>
        <w:fldChar w:fldCharType="end"/>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"https://www.who.int/"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https://www.who.int/</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 xml:space="preserve">, November 17, 2018, updated November 17, 2018.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"https://www.pennlive.com/news/2018/11/school_district_sued_over_burn.html"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https://www.pennlive.com/news/2018/11/school_district_sued_over_burn.html</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 xml:space="preserve">SpectraBase. Bio-Rad Laboratories.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"https://spectrabase.com/"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https://spectrabase.com/</w:t>
      </w:r>
      <w:r>
        <w:rPr>
          <w:rStyle w:val="13"/>
          <w:rFonts w:hint="default" w:ascii="Times New Roman" w:hAnsi="Times New Roman" w:eastAsia="宋体" w:cs="Times New Roman"/>
          <w:iCs/>
          <w:kern w:val="0"/>
          <w:sz w:val="20"/>
          <w:szCs w:val="20"/>
        </w:rPr>
        <w:fldChar w:fldCharType="end"/>
      </w:r>
      <w:r>
        <w:rPr>
          <w:rStyle w:val="13"/>
          <w:rFonts w:hint="default" w:ascii="Times New Roman" w:hAnsi="Times New Roman" w:eastAsia="宋体" w:cs="Times New Roman"/>
          <w:iCs/>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pPr>
        <w:widowControl/>
        <w:adjustRightInd w:val="0"/>
        <w:snapToGrid w:val="0"/>
        <w:spacing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w:t>
      </w:r>
      <w:r>
        <w:rPr>
          <w:rFonts w:hint="default" w:ascii="Times New Roman" w:hAnsi="Times New Roman" w:eastAsia="宋体" w:cs="Times New Roman"/>
          <w:i/>
          <w:iCs/>
          <w:color w:val="000000"/>
          <w:kern w:val="0"/>
          <w:sz w:val="20"/>
          <w:szCs w:val="20"/>
        </w:rPr>
        <w:t>arXiv</w:t>
      </w:r>
      <w:r>
        <w:rPr>
          <w:rFonts w:hint="default" w:ascii="Times New Roman" w:hAnsi="Times New Roman" w:eastAsia="宋体" w:cs="Times New Roman"/>
          <w:color w:val="000000"/>
          <w:kern w:val="0"/>
          <w:sz w:val="20"/>
          <w:szCs w:val="20"/>
        </w:rPr>
        <w:t>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"https://arxiv.org/abs/2401.00044"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https://arxiv.org/abs/2401.00044</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ascadia Code"/>
    <w:panose1 w:val="00000000000000000000"/>
    <w:charset w:val="00"/>
    <w:family w:val="auto"/>
    <w:pitch w:val="default"/>
    <w:sig w:usb0="00000000" w:usb1="00000000" w:usb2="00000020" w:usb3="00000000" w:csb0="2000019F" w:csb1="4F010000"/>
  </w:font>
  <w:font w:name="Cascadia Code">
    <w:panose1 w:val="020B0609020000020004"/>
    <w:charset w:val="00"/>
    <w:family w:val="auto"/>
    <w:pitch w:val="default"/>
    <w:sig w:usb0="A1002AFF" w:usb1="C200F9FB" w:usb2="00040020" w:usb3="00000000" w:csb0="6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"http://misjournal.net" </w:instrText>
    </w:r>
    <w:r>
      <w:fldChar w:fldCharType="separate"/>
    </w:r>
    <w:r>
      <w:rPr>
        <w:rStyle w:val="11"/>
        <w:rFonts w:ascii="Arial" w:hAnsi="Arial" w:cs="Arial"/>
        <w:b/>
        <w:bCs/>
        <w:color w:val="003F9A"/>
        <w:sz w:val="16"/>
        <w:szCs w:val="16"/>
        <w:u w:val="none"/>
      </w:rPr>
      <w:t>www.misjournal.net</w:t>
    </w:r>
    <w:r>
      <w:rPr>
        <w:rStyle w:val="11"/>
        <w:rFonts w:ascii="Arial" w:hAnsi="Arial" w:cs="Arial"/>
        <w:b/>
        <w:bCs/>
        <w:color w:val="003F9A"/>
        <w:sz w:val="16"/>
        <w:szCs w:val="16"/>
        <w:u w:val="none"/>
      </w:rPr>
      <w:fldChar w:fldCharType="end"/>
    </w:r>
  </w:p>
  <w:p>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10"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Mini-invasive Surg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6"/>
        <w:szCs w:val="16"/>
      </w:rPr>
      <w:t>2574-1225</w:t>
    </w:r>
    <w:r>
      <w:rPr>
        <w:rFonts w:ascii="Times New Roman" w:hAnsi="Times New Roman" w:cs="Times New Roman"/>
        <w:sz w:val="16"/>
        <w:szCs w:val="16"/>
      </w:rPr>
      <w:fldChar w:fldCharType="end"/>
    </w:r>
    <w:r>
      <w:rPr>
        <w:rFonts w:ascii="Times New Roman" w:hAnsi="Times New Roman" w:cs="Times New Roman"/>
        <w:sz w:val="16"/>
        <w:szCs w:val="16"/>
      </w:rPr>
      <w:t>.xxxx.xx</w:t>
    </w:r>
    <w:bookmarkEnd w:id="10"/>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3315970</wp:posOffset>
              </wp:positionH>
              <wp:positionV relativeFrom="paragraph">
                <wp:posOffset>17145</wp:posOffset>
              </wp:positionV>
              <wp:extent cx="2093595" cy="339725"/>
              <wp:effectExtent l="0" t="0" r="0" b="0"/>
              <wp:wrapNone/>
              <wp:docPr id="3" name="文本框 4"/>
              <wp:cNvGraphicFramePr/>
              <a:graphic xmlns:a="http://schemas.openxmlformats.org/drawingml/2006/main">
                <a:graphicData uri="http://schemas.microsoft.com/office/word/2010/wordprocessingShape">
                  <wps:wsp>
                    <wps:cNvSpPr txBox="1"/>
                    <wps:spPr>
                      <a:xfrm>
                        <a:off x="0" y="0"/>
                        <a:ext cx="2093595" cy="339725"/>
                      </a:xfrm>
                      <a:prstGeom prst="rect">
                        <a:avLst/>
                      </a:prstGeom>
                      <a:noFill/>
                      <a:ln w="9525">
                        <a:noFill/>
                      </a:ln>
                      <a:effectLst/>
                    </wps:spPr>
                    <wps:txb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wps:txbx>
                    <wps:bodyPr vert="horz" anchor="t" upright="1"/>
                  </wps:wsp>
                </a:graphicData>
              </a:graphic>
            </wp:anchor>
          </w:drawing>
        </mc:Choice>
        <mc:Fallback>
          <w:pict>
            <v:shape id="文本框 4" o:spid="_x0000_s1026" o:spt="202" type="#_x0000_t202" style="position:absolute;left:0pt;margin-left:261.1pt;margin-top:1.35pt;height:26.75pt;width:164.85pt;z-index:251660288;mso-width-relative:page;mso-height-relative:page;" filled="f" stroked="f" coordsize="21600,21600" o:gfxdata="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5NPctUAAAAIAQAADwAAAAAAAAABACAAAAAiAAAAZHJzL2Rvd25y&#10;ZXYueG1sUEsBAhQAFAAAAAgAh07iQELiVyzIAQAAfAMAAA4AAAAAAAAAAQAgAAAAJAEAAGRycy9l&#10;Mm9Eb2MueG1sUEsFBgAAAAAGAAYAWQEAAF4FAAAAAA==&#10;">
              <v:fill on="f" focussize="0,0"/>
              <v:stroke on="f"/>
              <v:imagedata o:title=""/>
              <o:lock v:ext="edit" aspectratio="f"/>
              <v:textbo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78BA"/>
    <w:rsid w:val="00030B75"/>
    <w:rsid w:val="0003284A"/>
    <w:rsid w:val="000C0D77"/>
    <w:rsid w:val="000D5EBD"/>
    <w:rsid w:val="00147950"/>
    <w:rsid w:val="001522FB"/>
    <w:rsid w:val="00172A27"/>
    <w:rsid w:val="0019510B"/>
    <w:rsid w:val="0027022E"/>
    <w:rsid w:val="00273491"/>
    <w:rsid w:val="00325048"/>
    <w:rsid w:val="00331E76"/>
    <w:rsid w:val="003608FF"/>
    <w:rsid w:val="003B627D"/>
    <w:rsid w:val="003D2452"/>
    <w:rsid w:val="003F1F15"/>
    <w:rsid w:val="00423880"/>
    <w:rsid w:val="00497675"/>
    <w:rsid w:val="004F52CE"/>
    <w:rsid w:val="005570D9"/>
    <w:rsid w:val="00637595"/>
    <w:rsid w:val="00695D36"/>
    <w:rsid w:val="006A0769"/>
    <w:rsid w:val="007D1FD5"/>
    <w:rsid w:val="008075EB"/>
    <w:rsid w:val="00842C21"/>
    <w:rsid w:val="008A495C"/>
    <w:rsid w:val="008B0024"/>
    <w:rsid w:val="00921419"/>
    <w:rsid w:val="00981A64"/>
    <w:rsid w:val="00A37A37"/>
    <w:rsid w:val="00B42AC5"/>
    <w:rsid w:val="00B74EF5"/>
    <w:rsid w:val="00BB3538"/>
    <w:rsid w:val="00C5076C"/>
    <w:rsid w:val="00C6365E"/>
    <w:rsid w:val="00CA2500"/>
    <w:rsid w:val="00CD2C66"/>
    <w:rsid w:val="00D06820"/>
    <w:rsid w:val="00D16246"/>
    <w:rsid w:val="00DC2EE7"/>
    <w:rsid w:val="00DF5C43"/>
    <w:rsid w:val="00E31605"/>
    <w:rsid w:val="00EA21CF"/>
    <w:rsid w:val="00EE548B"/>
    <w:rsid w:val="00F37CB8"/>
    <w:rsid w:val="00F72C6E"/>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23425"/>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D57"/>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8FE3346"/>
    <w:rsid w:val="09037D12"/>
    <w:rsid w:val="09076155"/>
    <w:rsid w:val="09235E3B"/>
    <w:rsid w:val="09261095"/>
    <w:rsid w:val="092848FD"/>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6C6D4A"/>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67C2A"/>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083973"/>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843A3"/>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9276D"/>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400AA"/>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CEC244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04E4A"/>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41CFE"/>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AE27EB"/>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259A4"/>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6F0E29"/>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51CD3"/>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76448"/>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1B2FE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BC54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50CDA"/>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633FB3"/>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66267"/>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AC108D"/>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25"/>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954F72" w:themeColor="followedHyperlink"/>
      <w:u w:val="single"/>
      <w14:textFill>
        <w14:solidFill>
          <w14:schemeClr w14:val="folHlink"/>
        </w14:solidFill>
      </w14:textFill>
    </w:rPr>
  </w:style>
  <w:style w:type="character" w:styleId="12">
    <w:name w:val="line number"/>
    <w:basedOn w:val="10"/>
    <w:autoRedefine/>
    <w:qFormat/>
    <w:uiPriority w:val="0"/>
  </w:style>
  <w:style w:type="character" w:styleId="13">
    <w:name w:val="Hyperlink"/>
    <w:basedOn w:val="10"/>
    <w:autoRedefine/>
    <w:qFormat/>
    <w:uiPriority w:val="0"/>
    <w:rPr>
      <w:color w:val="0000FF"/>
      <w:u w:val="single"/>
    </w:rPr>
  </w:style>
  <w:style w:type="paragraph" w:customStyle="1" w:styleId="14">
    <w:name w:val="MDPI_7.1_References"/>
    <w:basedOn w:val="15"/>
    <w:autoRedefine/>
    <w:qFormat/>
    <w:uiPriority w:val="0"/>
    <w:pPr>
      <w:numPr>
        <w:ilvl w:val="0"/>
        <w:numId w:val="1"/>
      </w:numPr>
      <w:spacing w:before="0" w:line="260" w:lineRule="atLeast"/>
      <w:ind w:left="425" w:hanging="425"/>
    </w:pPr>
  </w:style>
  <w:style w:type="paragraph" w:customStyle="1" w:styleId="15">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autoRedefine/>
    <w:qFormat/>
    <w:uiPriority w:val="0"/>
    <w:pPr>
      <w:tabs>
        <w:tab w:val="right" w:pos="8845"/>
      </w:tabs>
      <w:spacing w:line="160" w:lineRule="exact"/>
      <w:jc w:val="left"/>
    </w:pPr>
    <w:rPr>
      <w:sz w:val="16"/>
    </w:rPr>
  </w:style>
  <w:style w:type="paragraph" w:customStyle="1" w:styleId="18">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autoRedefine/>
    <w:qFormat/>
    <w:uiPriority w:val="0"/>
    <w:pPr>
      <w:spacing w:before="120" w:after="120"/>
      <w:ind w:left="709" w:firstLine="0"/>
      <w:jc w:val="center"/>
    </w:pPr>
  </w:style>
  <w:style w:type="paragraph" w:customStyle="1" w:styleId="23">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autoRedefine/>
    <w:qFormat/>
    <w:uiPriority w:val="0"/>
    <w:pPr>
      <w:spacing w:before="120" w:after="120" w:line="240" w:lineRule="auto"/>
      <w:ind w:firstLine="0"/>
      <w:jc w:val="right"/>
    </w:pPr>
  </w:style>
  <w:style w:type="character" w:customStyle="1" w:styleId="25">
    <w:name w:val="批注框文本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2263</Words>
  <Characters>12901</Characters>
  <Lines>107</Lines>
  <Paragraphs>30</Paragraphs>
  <TotalTime>0</TotalTime>
  <ScaleCrop>false</ScaleCrop>
  <LinksUpToDate>false</LinksUpToDate>
  <CharactersWithSpaces>15134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Irene</cp:lastModifiedBy>
  <dcterms:modified xsi:type="dcterms:W3CDTF">2026-02-05T08:58:50Z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E72EA316754F4502B3C2B7D302AAAB46_13</vt:lpwstr>
  </property>
</Properties>
</file>