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bookmarkStart w:id="0" w:name="OLE_LINK2"/>
      <w:r>
        <w:rPr>
          <w:rFonts w:hint="eastAsia" w:ascii="Times New Roman" w:hAnsi="Times New Roman" w:cs="Times New Roman"/>
          <w:b/>
          <w:bCs/>
        </w:rPr>
        <w:t>Letter to Editor</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1" w:name="OLE_LINK6"/>
      <w:r>
        <w:rPr>
          <w:rFonts w:hint="eastAsia" w:ascii="Times New Roman" w:hAnsi="Times New Roman" w:cs="Times New Roman"/>
          <w:b/>
          <w:bCs/>
          <w:i/>
          <w:iCs/>
          <w:color w:val="7F7F7F" w:themeColor="background1" w:themeShade="80"/>
          <w:sz w:val="18"/>
          <w:szCs w:val="18"/>
        </w:rPr>
        <w:t>No abbreviation</w:t>
      </w:r>
      <w:bookmarkEnd w:id="1"/>
      <w:r>
        <w:rPr>
          <w:rFonts w:hint="eastAsia" w:ascii="Times New Roman" w:hAnsi="Times New Roman" w:cs="Times New Roman"/>
          <w:b/>
          <w:bCs/>
          <w:i/>
          <w:iCs/>
          <w:color w:val="7F7F7F" w:themeColor="background1" w:themeShade="80"/>
          <w:sz w:val="18"/>
          <w:szCs w:val="18"/>
        </w:rPr>
        <w:t xml:space="preserve">s </w:t>
      </w:r>
      <w:bookmarkStart w:id="2" w:name="OLE_LINK4"/>
      <w:r>
        <w:rPr>
          <w:rFonts w:hint="eastAsia" w:ascii="Times New Roman" w:hAnsi="Times New Roman" w:cs="Times New Roman"/>
          <w:b/>
          <w:bCs/>
          <w:i/>
          <w:iCs/>
          <w:color w:val="7F7F7F" w:themeColor="background1" w:themeShade="80"/>
          <w:sz w:val="18"/>
          <w:szCs w:val="18"/>
        </w:rPr>
        <w:t>except for standardized ones</w:t>
      </w:r>
      <w:bookmarkEnd w:id="2"/>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3"/>
          <w:rFonts w:ascii="Times New Roman" w:hAnsi="Times New Roman" w:eastAsia="Times New Roman" w:cs="Times New Roman"/>
          <w:iCs/>
          <w:color w:val="190F13"/>
          <w:sz w:val="18"/>
          <w:szCs w:val="18"/>
        </w:rPr>
        <w:t>xxxx@xxxx.xxx</w:t>
      </w:r>
      <w:r>
        <w:rPr>
          <w:rStyle w:val="13"/>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2018</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3"/>
        <w:ind w:firstLine="0"/>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w:t>
      </w:r>
      <w:r>
        <w:rPr>
          <w:rFonts w:hint="eastAsia" w:ascii="Times New Roman" w:hAnsi="Times New Roman"/>
          <w:b/>
          <w:bCs/>
          <w:i/>
          <w:color w:val="7F7F7F" w:themeColor="background1" w:themeShade="80"/>
          <w:sz w:val="18"/>
          <w:szCs w:val="18"/>
          <w:lang w:eastAsia="zh-CN"/>
        </w:rPr>
        <w:t>a letter</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Main Text,</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fldChar w:fldCharType="begin"/>
      </w:r>
      <w:r>
        <w:instrText xml:space="preserve"> HYPERLINK "mailto:editorialoffice@misjournal.net" </w:instrText>
      </w:r>
      <w:r>
        <w:fldChar w:fldCharType="separate"/>
      </w:r>
      <w:r>
        <w:rPr>
          <w:rStyle w:val="13"/>
          <w:rFonts w:ascii="Times New Roman" w:hAnsi="Times New Roman"/>
          <w:b/>
          <w:bCs/>
          <w:i/>
          <w:color w:val="7F7F7F" w:themeColor="background1" w:themeShade="80"/>
          <w:sz w:val="18"/>
          <w:szCs w:val="18"/>
        </w:rPr>
        <w:t>editorial office</w:t>
      </w:r>
      <w:r>
        <w:rPr>
          <w:rStyle w:val="13"/>
          <w:rFonts w:ascii="Times New Roman" w:hAnsi="Times New Roman"/>
          <w:b/>
          <w:bCs/>
          <w:i/>
          <w:color w:val="7F7F7F" w:themeColor="background1" w:themeShade="80"/>
          <w:sz w:val="18"/>
          <w:szCs w:val="18"/>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r>
        <w:rPr>
          <w:rFonts w:hint="eastAsia" w:ascii="Times New Roman" w:hAnsi="Times New Roman" w:eastAsia="宋体" w:cs="Times New Roman"/>
          <w:b/>
          <w:bCs/>
          <w:iCs/>
          <w:color w:val="190F13"/>
          <w:sz w:val="24"/>
        </w:rPr>
        <w:t xml:space="preserve"> (optional)</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pStyle w:val="23"/>
        <w:ind w:firstLine="0"/>
        <w:rPr>
          <w:rFonts w:ascii="Times New Roman" w:hAnsi="Times New Roman"/>
          <w:b/>
          <w:bCs/>
          <w:i/>
          <w:color w:val="7F7F7F" w:themeColor="background1" w:themeShade="80"/>
          <w:sz w:val="18"/>
          <w:szCs w:val="18"/>
        </w:rPr>
      </w:pPr>
      <w:r>
        <w:rPr>
          <w:rFonts w:hint="eastAsia" w:ascii="Times New Roman" w:hAnsi="Times New Roman" w:eastAsia="宋体"/>
          <w:iCs/>
          <w:color w:val="auto"/>
          <w:sz w:val="20"/>
          <w:szCs w:val="20"/>
          <w:lang w:eastAsia="zh-CN"/>
        </w:rPr>
        <w:t>Abstract is a brief summary of an article, which helps the readers quickly ascertain the paper</w:t>
      </w:r>
      <w:r>
        <w:rPr>
          <w:rFonts w:ascii="Times New Roman" w:hAnsi="Times New Roman" w:eastAsia="宋体"/>
          <w:iCs/>
          <w:color w:val="auto"/>
          <w:sz w:val="20"/>
          <w:szCs w:val="20"/>
          <w:lang w:eastAsia="zh-CN"/>
        </w:rPr>
        <w:t>’</w:t>
      </w:r>
      <w:r>
        <w:rPr>
          <w:rFonts w:hint="eastAsia" w:ascii="Times New Roman" w:hAnsi="Times New Roman" w:eastAsia="宋体"/>
          <w:iCs/>
          <w:color w:val="auto"/>
          <w:sz w:val="20"/>
          <w:szCs w:val="20"/>
          <w:lang w:eastAsia="zh-CN"/>
        </w:rPr>
        <w:t xml:space="preserve">s main content. In this part, authors may mention writing purpose, experimental methods, results and their significance in this research field, </w:t>
      </w:r>
      <w:r>
        <w:rPr>
          <w:rFonts w:hint="eastAsia" w:ascii="Times New Roman" w:hAnsi="Times New Roman" w:eastAsia="宋体"/>
          <w:i/>
          <w:color w:val="auto"/>
          <w:sz w:val="20"/>
          <w:szCs w:val="20"/>
          <w:lang w:eastAsia="zh-CN"/>
        </w:rPr>
        <w:t>etc</w:t>
      </w:r>
      <w:r>
        <w:rPr>
          <w:rFonts w:hint="eastAsia" w:ascii="Times New Roman" w:hAnsi="Times New Roman" w:eastAsia="宋体"/>
          <w:iCs/>
          <w:color w:val="auto"/>
          <w:sz w:val="20"/>
          <w:szCs w:val="20"/>
          <w:lang w:eastAsia="zh-CN"/>
        </w:rPr>
        <w:t>.</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hint="eastAsia" w:ascii="Times New Roman" w:hAnsi="Times New Roman" w:eastAsia="宋体" w:cs="Times New Roman"/>
          <w:b/>
          <w:bCs/>
          <w:iCs/>
          <w:color w:val="190F13"/>
          <w:sz w:val="24"/>
        </w:rPr>
        <w:t xml:space="preserve"> (optional)</w:t>
      </w:r>
      <w:r>
        <w:rPr>
          <w:rFonts w:ascii="Times New Roman" w:hAnsi="Times New Roman" w:eastAsia="Times New Roman" w:cs="Times New Roman"/>
          <w:b/>
          <w:bCs/>
          <w:iCs/>
          <w:color w:val="190F13"/>
          <w:sz w:val="24"/>
        </w:rPr>
        <w:t>:</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manuscript in detail.</w:t>
      </w:r>
      <w:r>
        <w:rPr>
          <w:rFonts w:ascii="Times New Roman" w:hAnsi="Times New Roman" w:cs="Times New Roman"/>
          <w:sz w:val="20"/>
          <w:szCs w:val="20"/>
        </w:rPr>
        <w:t xml:space="preserve"> </w:t>
      </w:r>
      <w:r>
        <w:rPr>
          <w:rFonts w:hint="eastAsia" w:ascii="Times New Roman" w:hAnsi="Times New Roman" w:cs="Times New Roman"/>
          <w:sz w:val="20"/>
          <w:szCs w:val="20"/>
        </w:rPr>
        <w:t>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xml:space="preserve">) to separate different cases or situations.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fldChar w:fldCharType="begin"/>
      </w:r>
      <w:r>
        <w:instrText xml:space="preserve"> HYPERLINK "http://www.oaepublish.com/files/tpl/mis/Template_for_Supplementary_Material_mis.docx" </w:instrText>
      </w:r>
      <w:r>
        <w:fldChar w:fldCharType="separate"/>
      </w:r>
      <w:r>
        <w:rPr>
          <w:rStyle w:val="13"/>
          <w:rFonts w:hint="eastAsia" w:ascii="Times New Roman" w:hAnsi="Times New Roman" w:cs="Times New Roman"/>
          <w:b/>
          <w:bCs/>
          <w:sz w:val="20"/>
          <w:szCs w:val="20"/>
        </w:rPr>
        <w:t>Supplementary Material Template</w:t>
      </w:r>
      <w:r>
        <w:rPr>
          <w:rStyle w:val="13"/>
          <w:rFonts w:hint="eastAsia" w:ascii="Times New Roman" w:hAnsi="Times New Roman" w:cs="Times New Roman"/>
          <w:b/>
          <w:bCs/>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tbl>
      <w:tblPr>
        <w:tblStyle w:val="9"/>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19"/>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cstate="print"/>
                          <a:stretch>
                            <a:fillRect/>
                          </a:stretch>
                        </pic:blipFill>
                        <pic:spPr>
                          <a:xfrm>
                            <a:off x="0" y="0"/>
                            <a:ext cx="2591435" cy="1418590"/>
                          </a:xfrm>
                          <a:prstGeom prst="rect">
                            <a:avLst/>
                          </a:prstGeom>
                          <a:noFill/>
                          <a:ln w="9525">
                            <a:noFill/>
                          </a:ln>
                        </pic:spPr>
                      </pic:pic>
                    </a:graphicData>
                  </a:graphic>
                </wp:inline>
              </w:drawing>
            </w:r>
          </w:p>
          <w:p>
            <w:pPr>
              <w:pStyle w:val="19"/>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19"/>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0" cstate="print"/>
                          <a:stretch>
                            <a:fillRect/>
                          </a:stretch>
                        </pic:blipFill>
                        <pic:spPr>
                          <a:xfrm>
                            <a:off x="0" y="0"/>
                            <a:ext cx="2548890" cy="1443355"/>
                          </a:xfrm>
                          <a:prstGeom prst="rect">
                            <a:avLst/>
                          </a:prstGeom>
                        </pic:spPr>
                      </pic:pic>
                    </a:graphicData>
                  </a:graphic>
                </wp:inline>
              </w:drawing>
            </w:r>
          </w:p>
          <w:p>
            <w:pPr>
              <w:pStyle w:val="19"/>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19"/>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19"/>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9"/>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2"/>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75pt;width:77.25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p>
        </w:tc>
        <w:tc>
          <w:tcPr>
            <w:tcW w:w="435" w:type="dxa"/>
            <w:vAlign w:val="center"/>
          </w:tcPr>
          <w:p>
            <w:pPr>
              <w:pStyle w:val="24"/>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1"/>
        <w:tblW w:w="836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9"/>
        <w:gridCol w:w="921"/>
        <w:gridCol w:w="786"/>
        <w:gridCol w:w="903"/>
        <w:gridCol w:w="948"/>
        <w:gridCol w:w="1826"/>
        <w:gridCol w:w="1437"/>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tcBorders>
              <w:top w:val="single" w:color="auto" w:sz="8" w:space="0"/>
              <w:left w:val="nil"/>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21"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6"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3"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8"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26"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7"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1539" w:type="dxa"/>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21"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6" w:type="dxa"/>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3"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8"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26"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1539" w:type="dxa"/>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21" w:type="dxa"/>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6"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3"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8"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26"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7"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21"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6" w:type="dxa"/>
            <w:vAlign w:val="center"/>
          </w:tcPr>
          <w:p>
            <w:pPr>
              <w:pStyle w:val="20"/>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3"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8"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26"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cyclophosphamide, doxorubicin, vincristine, and prednisone;</w:t>
      </w:r>
      <w:r>
        <w:rPr>
          <w:rFonts w:hint="eastAsia" w:ascii="Times New Roman" w:hAnsi="Times New Roman" w:eastAsia="宋体" w:cs="Times New Roman"/>
          <w:color w:val="000000"/>
          <w:kern w:val="0"/>
          <w:sz w:val="16"/>
          <w:szCs w:val="16"/>
        </w:rPr>
        <w:t xml:space="preserve"> CVP: cyclophosphamide, vincristine, and prednisone;</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CIOP: cyclophosphamide, idarubicin, vincristine, and prednisone; CR: complete response. </w:t>
      </w:r>
      <w:r>
        <w:rPr>
          <w:rFonts w:ascii="Times New Roman" w:hAnsi="Times New Roman" w:eastAsia="宋体" w:cs="Times New Roman"/>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7"/>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3"/>
          <w:rFonts w:ascii="Times New Roman" w:hAnsi="Times New Roman" w:cs="Times New Roman" w:eastAsiaTheme="minorEastAsia"/>
          <w:b/>
          <w:bCs/>
          <w:kern w:val="2"/>
          <w:sz w:val="20"/>
          <w:szCs w:val="20"/>
        </w:rPr>
        <w:t>the criteria</w:t>
      </w:r>
      <w:r>
        <w:rPr>
          <w:rStyle w:val="13"/>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3" w:name="OLE_LINK11"/>
      <w:bookmarkStart w:id="4" w:name="OLE_LINK10"/>
      <w:r>
        <w:rPr>
          <w:rFonts w:ascii="Times New Roman" w:hAnsi="Times New Roman" w:cs="Times New Roman"/>
          <w:sz w:val="20"/>
          <w:szCs w:val="20"/>
        </w:rPr>
        <w:t>”</w:t>
      </w:r>
      <w:bookmarkEnd w:id="3"/>
      <w:bookmarkEnd w:id="4"/>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5" w:name="OLE_LINK13"/>
      <w:bookmarkStart w:id="6" w:name="OLE_LINK12"/>
      <w:r>
        <w:rPr>
          <w:rFonts w:ascii="Times New Roman" w:hAnsi="Times New Roman" w:cs="Times New Roman"/>
          <w:sz w:val="20"/>
          <w:szCs w:val="20"/>
        </w:rPr>
        <w:t>“</w:t>
      </w:r>
      <w:bookmarkEnd w:id="5"/>
      <w:bookmarkEnd w:id="6"/>
      <w:r>
        <w:rPr>
          <w:rFonts w:ascii="Times New Roman" w:hAnsi="Times New Roman" w:cs="Times New Roman"/>
          <w:sz w:val="20"/>
          <w:szCs w:val="20"/>
        </w:rPr>
        <w:t xml:space="preserve">Conflicts of Interest” of OAE </w:t>
      </w:r>
      <w:r>
        <w:fldChar w:fldCharType="begin"/>
      </w:r>
      <w:r>
        <w:instrText xml:space="preserve"> HYPERLINK "https://oaepublish.com/pages/view/editorial_policies" </w:instrText>
      </w:r>
      <w:r>
        <w:fldChar w:fldCharType="separate"/>
      </w:r>
      <w:r>
        <w:rPr>
          <w:rStyle w:val="13"/>
          <w:rFonts w:ascii="Times New Roman" w:hAnsi="Times New Roman" w:cs="Times New Roman"/>
          <w:b/>
          <w:bCs/>
          <w:sz w:val="20"/>
          <w:szCs w:val="20"/>
        </w:rPr>
        <w:t>Editorial Policies</w:t>
      </w:r>
      <w:r>
        <w:rPr>
          <w:rStyle w:val="13"/>
          <w:rFonts w:ascii="Times New Roman" w:hAnsi="Times New Roman" w:cs="Times New Roman"/>
          <w:b/>
          <w:bCs/>
          <w:sz w:val="20"/>
          <w:szCs w:val="20"/>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rPr>
        <w:t>2</w:t>
      </w:r>
      <w:r>
        <w:rPr>
          <w:rFonts w:hint="eastAsia" w:ascii="Times New Roman" w:hAnsi="Times New Roman" w:eastAsia="宋体" w:cs="Times New Roman"/>
          <w:color w:val="000000"/>
          <w:kern w:val="0"/>
          <w:sz w:val="20"/>
          <w:szCs w:val="20"/>
          <w:lang w:val="en-US" w:eastAsia="zh-CN"/>
        </w:rPr>
        <w:t>1</w:t>
      </w:r>
      <w:bookmarkStart w:id="8" w:name="_GoBack"/>
      <w:bookmarkEnd w:id="8"/>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line="360" w:lineRule="auto"/>
        <w:rPr>
          <w:rFonts w:ascii="Times New Roman" w:hAnsi="Times New Roman" w:cs="Times New Roman"/>
          <w:b/>
          <w:bCs/>
          <w:i/>
          <w:iCs/>
          <w:color w:val="7F7F7F" w:themeColor="background1" w:themeShade="80"/>
          <w:sz w:val="18"/>
          <w:szCs w:val="18"/>
          <w:highlight w:val="yellow"/>
        </w:rPr>
      </w:pPr>
      <w:r>
        <w:rPr>
          <w:rFonts w:hint="eastAsia" w:ascii="Times New Roman" w:hAnsi="Times New Roman" w:cs="Times New Roman"/>
          <w:b/>
          <w:bCs/>
          <w:i/>
          <w:iCs/>
          <w:color w:val="7F7F7F" w:themeColor="background1" w:themeShade="80"/>
          <w:sz w:val="18"/>
          <w:szCs w:val="18"/>
          <w:highlight w:val="yellow"/>
        </w:rPr>
        <w:t>Top six</w:t>
      </w:r>
      <w:r>
        <w:rPr>
          <w:rFonts w:ascii="Times New Roman" w:hAnsi="Times New Roman" w:cs="Times New Roman"/>
          <w:b/>
          <w:bCs/>
          <w:i/>
          <w:iCs/>
          <w:color w:val="7F7F7F" w:themeColor="background1" w:themeShade="80"/>
          <w:sz w:val="18"/>
          <w:szCs w:val="18"/>
          <w:highlight w:val="yellow"/>
        </w:rPr>
        <w:t xml:space="preserve"> authors’ names should be listed in the references</w:t>
      </w:r>
      <w:r>
        <w:rPr>
          <w:rFonts w:hint="eastAsia" w:ascii="Times New Roman" w:hAnsi="Times New Roman" w:cs="Times New Roman"/>
          <w:b/>
          <w:bCs/>
          <w:i/>
          <w:iCs/>
          <w:color w:val="7F7F7F" w:themeColor="background1" w:themeShade="80"/>
          <w:sz w:val="18"/>
          <w:szCs w:val="18"/>
          <w:highlight w:val="yellow"/>
        </w:rPr>
        <w:t>;</w:t>
      </w:r>
      <w:r>
        <w:rPr>
          <w:rFonts w:ascii="Times New Roman" w:hAnsi="Times New Roman" w:cs="Times New Roman"/>
          <w:b/>
          <w:bCs/>
          <w:i/>
          <w:iCs/>
          <w:color w:val="7F7F7F" w:themeColor="background1" w:themeShade="80"/>
          <w:sz w:val="18"/>
          <w:szCs w:val="18"/>
          <w:highlight w:val="yellow"/>
        </w:rPr>
        <w:t xml:space="preserve"> </w:t>
      </w:r>
    </w:p>
    <w:p>
      <w:pPr>
        <w:numPr>
          <w:ilvl w:val="0"/>
          <w:numId w:val="3"/>
        </w:numPr>
        <w:adjustRightInd w:val="0"/>
        <w:snapToGrid w:val="0"/>
        <w:spacing w:line="360"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3"/>
          <w:rFonts w:ascii="Times New Roman" w:hAnsi="Times New Roman" w:cs="Times New Roman"/>
          <w:b/>
          <w:bCs/>
          <w:i/>
          <w:iCs/>
          <w:color w:val="7F7F7F" w:themeColor="background1" w:themeShade="80"/>
          <w:sz w:val="18"/>
          <w:szCs w:val="18"/>
        </w:rPr>
        <w:t>http://www2.bg.am.poznan.pl/czasopisma/medicus.php?lang=eng</w:t>
      </w:r>
      <w:r>
        <w:rPr>
          <w:rStyle w:val="13"/>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r>
        <w:rPr>
          <w:rFonts w:hint="eastAsia" w:ascii="Times New Roman" w:hAnsi="Times New Roman" w:cs="Times New Roman"/>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highlight w:val="yellow"/>
        </w:rPr>
        <w:t>The names of journals should be Italic.</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color w:val="000000"/>
          <w:kern w:val="0"/>
          <w:sz w:val="20"/>
          <w:szCs w:val="20"/>
        </w:rPr>
      </w:pPr>
      <w:r>
        <w:rPr>
          <w:rFonts w:ascii="Times New Roman" w:hAnsi="Times New Roman" w:eastAsia="宋体" w:cs="Times New Roman"/>
          <w:b/>
          <w:bCs/>
          <w:i/>
          <w:iCs/>
          <w:color w:val="000000"/>
          <w:kern w:val="0"/>
          <w:sz w:val="20"/>
          <w:szCs w:val="20"/>
        </w:rPr>
        <w:t xml:space="preserve">Standard journal articles (list </w:t>
      </w:r>
      <w:r>
        <w:rPr>
          <w:rFonts w:hint="eastAsia" w:ascii="Times New Roman" w:hAnsi="Times New Roman" w:eastAsia="宋体" w:cs="Times New Roman"/>
          <w:b/>
          <w:bCs/>
          <w:i/>
          <w:iCs/>
          <w:color w:val="000000"/>
          <w:kern w:val="0"/>
          <w:sz w:val="20"/>
          <w:szCs w:val="20"/>
        </w:rPr>
        <w:t>top six</w:t>
      </w:r>
      <w:r>
        <w:rPr>
          <w:rFonts w:ascii="Times New Roman" w:hAnsi="Times New Roman" w:eastAsia="宋体" w:cs="Times New Roman"/>
          <w:b/>
          <w:bCs/>
          <w:i/>
          <w:iCs/>
          <w:color w:val="000000"/>
          <w:kern w:val="0"/>
          <w:sz w:val="20"/>
          <w:szCs w:val="20"/>
        </w:rPr>
        <w:t xml:space="preserve"> authors)</w:t>
      </w:r>
    </w:p>
    <w:p>
      <w:pPr>
        <w:widowControl/>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Demeter M, Ďuriček M, Vorčák M, Hyrdel R, Kunda R, Bánovčin P. S-POEM in treatment of achalasia and esophageal epiphrenic diverticula - single center experience. </w:t>
      </w:r>
      <w:r>
        <w:rPr>
          <w:rFonts w:hint="eastAsia" w:ascii="Times New Roman" w:hAnsi="Times New Roman" w:eastAsia="宋体" w:cs="Times New Roman"/>
          <w:i/>
          <w:iCs/>
          <w:color w:val="000000"/>
          <w:kern w:val="0"/>
          <w:sz w:val="20"/>
          <w:szCs w:val="20"/>
        </w:rPr>
        <w:t>Scand J Gastroenterol</w:t>
      </w:r>
      <w:r>
        <w:rPr>
          <w:rFonts w:hint="eastAsia" w:ascii="Times New Roman" w:hAnsi="Times New Roman" w:eastAsia="宋体" w:cs="Times New Roman"/>
          <w:color w:val="000000"/>
          <w:kern w:val="0"/>
          <w:sz w:val="20"/>
          <w:szCs w:val="20"/>
        </w:rPr>
        <w:t xml:space="preserve"> 2020;55:509-14.</w:t>
      </w:r>
    </w:p>
    <w:p>
      <w:pPr>
        <w:widowControl/>
        <w:spacing w:line="260" w:lineRule="atLeast"/>
        <w:rPr>
          <w:rFonts w:ascii="Times New Roman" w:hAnsi="Times New Roman" w:eastAsia="宋体" w:cs="Times New Roman"/>
          <w:color w:val="000000"/>
          <w:kern w:val="0"/>
          <w:sz w:val="20"/>
          <w:szCs w:val="20"/>
        </w:rPr>
      </w:pP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hint="eastAsia" w:ascii="Times New Roman" w:hAnsi="Times New Roman" w:eastAsia="宋体" w:cs="Times New Roman"/>
          <w:b/>
          <w:bCs/>
          <w:i/>
          <w:iCs/>
          <w:color w:val="000000"/>
          <w:kern w:val="0"/>
          <w:sz w:val="20"/>
          <w:szCs w:val="20"/>
        </w:rPr>
        <w:t>More Than six authors</w:t>
      </w:r>
    </w:p>
    <w:p>
      <w:pPr>
        <w:widowControl/>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Weaver DL, Ashikaga T, Krag DN, et al. Effect of occult metastases on survival in node-negative breast cancer. N </w:t>
      </w:r>
      <w:r>
        <w:rPr>
          <w:rFonts w:hint="eastAsia" w:ascii="Times New Roman" w:hAnsi="Times New Roman" w:eastAsia="宋体" w:cs="Times New Roman"/>
          <w:i/>
          <w:iCs/>
          <w:color w:val="000000"/>
          <w:kern w:val="0"/>
          <w:sz w:val="20"/>
          <w:szCs w:val="20"/>
        </w:rPr>
        <w:t>Engl J Med </w:t>
      </w:r>
      <w:r>
        <w:rPr>
          <w:rFonts w:hint="eastAsia" w:ascii="Times New Roman" w:hAnsi="Times New Roman" w:eastAsia="宋体" w:cs="Times New Roman"/>
          <w:color w:val="000000"/>
          <w:kern w:val="0"/>
          <w:sz w:val="20"/>
          <w:szCs w:val="20"/>
        </w:rPr>
        <w:t>2011;364:412-21. [PMID: 21247310 DOI: 10.1056/NEJMoa1008108] </w:t>
      </w:r>
    </w:p>
    <w:p>
      <w:pPr>
        <w:widowControl/>
        <w:spacing w:line="260" w:lineRule="atLeast"/>
        <w:rPr>
          <w:rFonts w:ascii="Times New Roman" w:hAnsi="Times New Roman" w:eastAsia="宋体" w:cs="Times New Roman"/>
          <w:color w:val="000000"/>
          <w:kern w:val="0"/>
          <w:sz w:val="20"/>
          <w:szCs w:val="20"/>
        </w:rPr>
      </w:pP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Diabetes Prevention Program Research Group. Hypertension, insulin, and proinsulin in participants with impaired glucose tolerance. </w:t>
      </w:r>
      <w:r>
        <w:rPr>
          <w:rFonts w:ascii="Times New Roman" w:hAnsi="Times New Roman" w:eastAsia="宋体" w:cs="Times New Roman"/>
          <w:i/>
          <w:iCs/>
          <w:color w:val="000000"/>
          <w:kern w:val="0"/>
          <w:sz w:val="20"/>
          <w:szCs w:val="20"/>
        </w:rPr>
        <w:t xml:space="preserve">Hypertension </w:t>
      </w:r>
      <w:r>
        <w:rPr>
          <w:rFonts w:ascii="Times New Roman" w:hAnsi="Times New Roman" w:eastAsia="宋体" w:cs="Times New Roman"/>
          <w:color w:val="000000"/>
          <w:kern w:val="0"/>
          <w:sz w:val="20"/>
          <w:szCs w:val="20"/>
        </w:rPr>
        <w:t>2002;40:679-86.</w:t>
      </w:r>
      <w:r>
        <w:rPr>
          <w:rFonts w:hint="eastAsia" w:ascii="Times New Roman" w:hAnsi="Times New Roman" w:eastAsia="宋体" w:cs="Times New Roman"/>
          <w:color w:val="000000"/>
          <w:kern w:val="0"/>
          <w:sz w:val="20"/>
          <w:szCs w:val="20"/>
        </w:rPr>
        <w:t xml:space="preserve"> [PMID: 12411462]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
          <w:color w:val="000000"/>
          <w:kern w:val="0"/>
          <w:sz w:val="20"/>
          <w:szCs w:val="20"/>
        </w:rPr>
        <w:t>J Urol</w:t>
      </w:r>
      <w:r>
        <w:rPr>
          <w:rFonts w:ascii="Times New Roman" w:hAnsi="Times New Roman" w:eastAsia="宋体" w:cs="Times New Roman"/>
          <w:color w:val="000000"/>
          <w:kern w:val="0"/>
          <w:sz w:val="20"/>
          <w:szCs w:val="20"/>
        </w:rPr>
        <w:t xml:space="preserve"> 2003;169:2257-61.</w:t>
      </w:r>
      <w:r>
        <w:rPr>
          <w:rFonts w:hint="eastAsia" w:ascii="Times New Roman" w:hAnsi="Times New Roman" w:eastAsia="宋体" w:cs="Times New Roman"/>
          <w:color w:val="000000"/>
          <w:kern w:val="0"/>
          <w:sz w:val="20"/>
          <w:szCs w:val="20"/>
        </w:rPr>
        <w:t xml:space="preserve"> [PMID: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Cs/>
          <w:color w:val="000000"/>
          <w:kern w:val="0"/>
          <w:sz w:val="20"/>
          <w:szCs w:val="20"/>
        </w:rPr>
        <w:t xml:space="preserve">J </w:t>
      </w:r>
      <w:r>
        <w:rPr>
          <w:rFonts w:ascii="Times New Roman" w:hAnsi="Times New Roman" w:eastAsia="宋体" w:cs="Times New Roman"/>
          <w:i/>
          <w:color w:val="000000"/>
          <w:kern w:val="0"/>
          <w:sz w:val="20"/>
          <w:szCs w:val="20"/>
        </w:rPr>
        <w:t>Appl Clin Pediatr</w:t>
      </w:r>
      <w:r>
        <w:rPr>
          <w:rFonts w:ascii="Times New Roman" w:hAnsi="Times New Roman" w:eastAsia="宋体" w:cs="Times New Roman"/>
          <w:iCs/>
          <w:color w:val="000000"/>
          <w:kern w:val="0"/>
          <w:sz w:val="20"/>
          <w:szCs w:val="20"/>
        </w:rPr>
        <w:t xml:space="preserve">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sz w:val="20"/>
          <w:szCs w:val="20"/>
        </w:rPr>
        <w:t>Odibo AO</w:t>
      </w:r>
      <w:r>
        <w:rPr>
          <w:rFonts w:ascii="Times New Roman" w:hAnsi="Times New Roman" w:eastAsia="宋体"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i/>
          <w:iCs/>
          <w:sz w:val="20"/>
          <w:szCs w:val="20"/>
        </w:rPr>
        <w:t>BJOG</w:t>
      </w:r>
      <w:r>
        <w:rPr>
          <w:rFonts w:ascii="Times New Roman" w:hAnsi="Times New Roman" w:eastAsia="宋体" w:cs="Times New Roman"/>
          <w:color w:val="000000"/>
          <w:kern w:val="0"/>
          <w:sz w:val="20"/>
          <w:szCs w:val="20"/>
        </w:rPr>
        <w:t xml:space="preserve"> 2018; Epub ahead of print </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PMID: 30461178 DOI: 10.1111/1471-0528.15541</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3"/>
          <w:rFonts w:ascii="Times New Roman" w:hAnsi="Times New Roman" w:eastAsia="宋体" w:cs="Times New Roman"/>
          <w:iCs/>
          <w:kern w:val="0"/>
          <w:sz w:val="20"/>
          <w:szCs w:val="20"/>
        </w:rPr>
        <w:t>https://www.fda.gov/NewsEvents/Newsroom/PressAnnouncements/ucm574058.htm</w:t>
      </w:r>
      <w:r>
        <w:rPr>
          <w:rStyle w:val="13"/>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182-91.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Tian D, Araki H, Stahl E, Bergelson J, Kreitman M. Signature of balancing selection in Arabidopsis. </w:t>
      </w:r>
      <w:r>
        <w:rPr>
          <w:rFonts w:ascii="Times New Roman" w:hAnsi="Times New Roman" w:eastAsia="宋体" w:cs="Times New Roman"/>
          <w:i/>
          <w:iCs/>
          <w:color w:val="000000"/>
          <w:kern w:val="0"/>
          <w:sz w:val="20"/>
          <w:szCs w:val="20"/>
        </w:rPr>
        <w:t xml:space="preserve">Proc Natl Acad Sci </w:t>
      </w:r>
      <w:r>
        <w:rPr>
          <w:rFonts w:ascii="Times New Roman" w:hAnsi="Times New Roman" w:eastAsia="宋体" w:cs="Times New Roman"/>
          <w:color w:val="000000"/>
          <w:kern w:val="0"/>
          <w:sz w:val="20"/>
          <w:szCs w:val="20"/>
        </w:rPr>
        <w:t>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 xml:space="preserve">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3"/>
          <w:rFonts w:ascii="Times New Roman" w:hAnsi="Times New Roman" w:eastAsia="宋体" w:cs="Times New Roman"/>
          <w:b/>
          <w:bCs/>
          <w:i/>
          <w:iCs/>
          <w:color w:val="000000"/>
          <w:kern w:val="0"/>
          <w:sz w:val="20"/>
          <w:szCs w:val="20"/>
        </w:rPr>
        <w:t>https://www.nlm.nih.gov/bsd/uniform_requirements.html)</w:t>
      </w:r>
      <w:r>
        <w:rPr>
          <w:rStyle w:val="13"/>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r>
        <w:rPr>
          <w:rFonts w:hint="eastAsia" w:ascii="Times New Roman" w:hAnsi="Times New Roman" w:cs="Times New Roman"/>
          <w:b/>
          <w:bCs/>
          <w:i/>
          <w:iCs/>
          <w:color w:val="000000" w:themeColor="text1"/>
          <w:sz w:val="18"/>
          <w:szCs w:val="18"/>
          <w14:textFill>
            <w14:solidFill>
              <w14:schemeClr w14:val="tx1"/>
            </w14:solidFill>
          </w14:textFill>
        </w:rPr>
        <w:t>The names of journals should be Italic.</w:t>
      </w:r>
    </w:p>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3"/>
        <w:rFonts w:ascii="Times New Roman" w:hAnsi="Times New Roman" w:cs="Times New Roman"/>
        <w:snapToGrid w:val="0"/>
        <w:sz w:val="12"/>
        <w:szCs w:val="12"/>
      </w:rPr>
      <w:t>https://creativecommons.org/licenses/by/4.0/</w:t>
    </w:r>
    <w:r>
      <w:rPr>
        <w:rStyle w:val="13"/>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 xml:space="preserve">  </w:t>
    </w:r>
    <w:r>
      <w:fldChar w:fldCharType="begin"/>
    </w:r>
    <w:r>
      <w:instrText xml:space="preserve"> HYPERLINK "http://misjournal.net/" </w:instrText>
    </w:r>
    <w:r>
      <w:fldChar w:fldCharType="separate"/>
    </w:r>
    <w:r>
      <w:rPr>
        <w:rStyle w:val="13"/>
        <w:rFonts w:ascii="Arial" w:hAnsi="Arial" w:cs="Arial"/>
        <w:b/>
        <w:bCs/>
        <w:color w:val="003F9A"/>
        <w:sz w:val="16"/>
        <w:szCs w:val="16"/>
        <w:u w:val="none"/>
      </w:rPr>
      <w:t>www.misjournal.net</w:t>
    </w:r>
    <w:r>
      <w:rPr>
        <w:rStyle w:val="13"/>
        <w:rFonts w:ascii="Arial" w:hAnsi="Arial" w:cs="Arial"/>
        <w:b/>
        <w:bCs/>
        <w:color w:val="003F9A"/>
        <w:sz w:val="16"/>
        <w:szCs w:val="16"/>
        <w:u w:val="none"/>
      </w:rPr>
      <w:fldChar w:fldCharType="end"/>
    </w:r>
  </w:p>
  <w:p>
    <w:pPr>
      <w:pStyle w:val="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Mini-invasive Surg</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fldChar w:fldCharType="begin"/>
    </w:r>
    <w:r>
      <w:instrText xml:space="preserve"> HYPERLINK "https://doi.org/10.20517/2574-1225.2017.51" \t "http://misjournal.net/journal/_blank" </w:instrText>
    </w:r>
    <w:r>
      <w:fldChar w:fldCharType="separate"/>
    </w:r>
    <w:r>
      <w:rPr>
        <w:rFonts w:ascii="Times New Roman" w:hAnsi="Times New Roman" w:cs="Times New Roman"/>
        <w:sz w:val="14"/>
        <w:szCs w:val="14"/>
      </w:rPr>
      <w:t>2574-1225</w:t>
    </w:r>
    <w:r>
      <w:rPr>
        <w:rFonts w:ascii="Times New Roman" w:hAnsi="Times New Roman" w:cs="Times New Roman"/>
        <w:sz w:val="14"/>
        <w:szCs w:val="14"/>
      </w:rPr>
      <w:fldChar w:fldCharType="end"/>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Mini-invasive Surg</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fldChar w:fldCharType="begin"/>
    </w:r>
    <w:r>
      <w:instrText xml:space="preserve"> HYPERLINK "https://doi.org/10.20517/2574-1225.2017.51" \t "http://misjournal.net/journal/_blank" </w:instrText>
    </w:r>
    <w:r>
      <w:fldChar w:fldCharType="separate"/>
    </w:r>
    <w:r>
      <w:rPr>
        <w:rFonts w:ascii="Times New Roman" w:hAnsi="Times New Roman" w:cs="Times New Roman"/>
        <w:sz w:val="14"/>
        <w:szCs w:val="14"/>
      </w:rPr>
      <w:t>2574-1225</w:t>
    </w:r>
    <w:r>
      <w:rPr>
        <w:rFonts w:ascii="Times New Roman" w:hAnsi="Times New Roman" w:cs="Times New Roman"/>
        <w:sz w:val="14"/>
        <w:szCs w:val="14"/>
      </w:rPr>
      <w:fldChar w:fldCharType="end"/>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7" w:name="OLE_LINK5"/>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ascii="Times New Roman" w:hAnsi="Times New Roman" w:cs="Times New Roman"/>
        <w:i/>
        <w:iCs/>
        <w:sz w:val="16"/>
        <w:szCs w:val="16"/>
      </w:rPr>
      <w:t xml:space="preserve">Mini-invasive Surg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mc:AlternateContent>
        <mc:Choice Requires="wps">
          <w:drawing>
            <wp:anchor distT="0" distB="0" distL="114300" distR="114300" simplePos="0" relativeHeight="251660288" behindDoc="0" locked="0" layoutInCell="1" allowOverlap="1">
              <wp:simplePos x="0" y="0"/>
              <wp:positionH relativeFrom="column">
                <wp:posOffset>3315970</wp:posOffset>
              </wp:positionH>
              <wp:positionV relativeFrom="paragraph">
                <wp:posOffset>17145</wp:posOffset>
              </wp:positionV>
              <wp:extent cx="2093595" cy="339725"/>
              <wp:effectExtent l="0" t="0" r="0" b="0"/>
              <wp:wrapNone/>
              <wp:docPr id="2" name="文本框 4"/>
              <wp:cNvGraphicFramePr/>
              <a:graphic xmlns:a="http://schemas.openxmlformats.org/drawingml/2006/main">
                <a:graphicData uri="http://schemas.microsoft.com/office/word/2010/wordprocessingShape">
                  <wps:wsp>
                    <wps:cNvSpPr txBox="1"/>
                    <wps:spPr>
                      <a:xfrm>
                        <a:off x="0" y="0"/>
                        <a:ext cx="2093595" cy="339725"/>
                      </a:xfrm>
                      <a:prstGeom prst="rect">
                        <a:avLst/>
                      </a:prstGeom>
                      <a:noFill/>
                      <a:ln w="9525">
                        <a:noFill/>
                      </a:ln>
                      <a:effectLst/>
                    </wps:spPr>
                    <wps:txbx>
                      <w:txbxContent>
                        <w:p>
                          <w:pPr>
                            <w:jc w:val="right"/>
                            <w:rPr>
                              <w:rFonts w:ascii="Arial" w:hAnsi="Arial"/>
                              <w:b/>
                              <w:color w:val="003F9A"/>
                              <w:sz w:val="26"/>
                              <w:szCs w:val="26"/>
                            </w:rPr>
                          </w:pPr>
                          <w:r>
                            <w:rPr>
                              <w:rFonts w:hint="eastAsia" w:ascii="Arial" w:hAnsi="Arial"/>
                              <w:b/>
                              <w:color w:val="003F9A"/>
                              <w:sz w:val="26"/>
                              <w:szCs w:val="26"/>
                            </w:rPr>
                            <w:t>Mini-invasive Surgery</w:t>
                          </w:r>
                          <w:r>
                            <w:rPr>
                              <w:rFonts w:ascii="Arial" w:hAnsi="Arial"/>
                              <w:b/>
                              <w:color w:val="003F9A"/>
                              <w:sz w:val="26"/>
                              <w:szCs w:val="26"/>
                            </w:rPr>
                            <w:t xml:space="preserve"> </w:t>
                          </w:r>
                        </w:p>
                      </w:txbxContent>
                    </wps:txbx>
                    <wps:bodyPr vert="horz" anchor="t" upright="1"/>
                  </wps:wsp>
                </a:graphicData>
              </a:graphic>
            </wp:anchor>
          </w:drawing>
        </mc:Choice>
        <mc:Fallback>
          <w:pict>
            <v:shape id="文本框 4" o:spid="_x0000_s1026" o:spt="202" type="#_x0000_t202" style="position:absolute;left:0pt;margin-left:261.1pt;margin-top:1.35pt;height:26.75pt;width:164.85pt;z-index:251660288;mso-width-relative:page;mso-height-relative:page;" filled="f" stroked="f" coordsize="21600,21600" o:gfxdata="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OTT3LVAAAACAEAAA8AAAAAAAAAAQAgAAAAIgAAAGRycy9kb3du&#10;cmV2LnhtbFBLAQIUABQAAAAIAIdO4kBLnPpXyQEAAHwDAAAOAAAAAAAAAAEAIAAAACQBAABkcnMv&#10;ZTJvRG9jLnhtbFBLBQYAAAAABgAGAFkBAABfBQAAAAA=&#10;">
              <v:fill on="f" focussize="0,0"/>
              <v:stroke on="f"/>
              <v:imagedata o:title=""/>
              <o:lock v:ext="edit" aspectratio="f"/>
              <v:textbox>
                <w:txbxContent>
                  <w:p>
                    <w:pPr>
                      <w:jc w:val="right"/>
                      <w:rPr>
                        <w:rFonts w:ascii="Arial" w:hAnsi="Arial"/>
                        <w:b/>
                        <w:color w:val="003F9A"/>
                        <w:sz w:val="26"/>
                        <w:szCs w:val="26"/>
                      </w:rPr>
                    </w:pPr>
                    <w:r>
                      <w:rPr>
                        <w:rFonts w:hint="eastAsia" w:ascii="Arial" w:hAnsi="Arial"/>
                        <w:b/>
                        <w:color w:val="003F9A"/>
                        <w:sz w:val="26"/>
                        <w:szCs w:val="26"/>
                      </w:rPr>
                      <w:t>Mini-invasive Surgery</w:t>
                    </w:r>
                    <w:r>
                      <w:rPr>
                        <w:rFonts w:ascii="Arial" w:hAnsi="Arial"/>
                        <w:b/>
                        <w:color w:val="003F9A"/>
                        <w:sz w:val="26"/>
                        <w:szCs w:val="26"/>
                      </w:rPr>
                      <w:t xml:space="preserve"> </w:t>
                    </w:r>
                  </w:p>
                </w:txbxContent>
              </v:textbox>
            </v:shape>
          </w:pict>
        </mc:Fallback>
      </mc:AlternateConten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fldChar w:fldCharType="begin"/>
    </w:r>
    <w:r>
      <w:instrText xml:space="preserve"> HYPERLINK "https://doi.org/10.20517/2574-1225.2017.51" \t "http://misjournal.net/journal/_blank" </w:instrText>
    </w:r>
    <w:r>
      <w:fldChar w:fldCharType="separate"/>
    </w:r>
    <w:r>
      <w:rPr>
        <w:rFonts w:ascii="Times New Roman" w:hAnsi="Times New Roman" w:cs="Times New Roman"/>
        <w:sz w:val="16"/>
        <w:szCs w:val="16"/>
      </w:rPr>
      <w:t>2574-1225</w:t>
    </w:r>
    <w:r>
      <w:rPr>
        <w:rFonts w:ascii="Times New Roman" w:hAnsi="Times New Roman" w:cs="Times New Roman"/>
        <w:sz w:val="16"/>
        <w:szCs w:val="16"/>
      </w:rPr>
      <w:fldChar w:fldCharType="end"/>
    </w:r>
    <w:r>
      <w:rPr>
        <w:rFonts w:ascii="Times New Roman" w:hAnsi="Times New Roman" w:cs="Times New Roman"/>
        <w:sz w:val="16"/>
        <w:szCs w:val="16"/>
      </w:rPr>
      <w:t>.xxxx.xx</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4"/>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AEE"/>
    <w:rsid w:val="000178BA"/>
    <w:rsid w:val="00030B75"/>
    <w:rsid w:val="0003284A"/>
    <w:rsid w:val="000D5EBD"/>
    <w:rsid w:val="00113453"/>
    <w:rsid w:val="00172A27"/>
    <w:rsid w:val="0019510B"/>
    <w:rsid w:val="00273491"/>
    <w:rsid w:val="00331E76"/>
    <w:rsid w:val="003608FF"/>
    <w:rsid w:val="003B627D"/>
    <w:rsid w:val="00423880"/>
    <w:rsid w:val="00497675"/>
    <w:rsid w:val="004F52CE"/>
    <w:rsid w:val="005570D9"/>
    <w:rsid w:val="00637595"/>
    <w:rsid w:val="00687FA1"/>
    <w:rsid w:val="00773115"/>
    <w:rsid w:val="0078684D"/>
    <w:rsid w:val="007D1FD5"/>
    <w:rsid w:val="00802D7C"/>
    <w:rsid w:val="008075EB"/>
    <w:rsid w:val="00842C21"/>
    <w:rsid w:val="00865120"/>
    <w:rsid w:val="008A495C"/>
    <w:rsid w:val="00921419"/>
    <w:rsid w:val="0094683A"/>
    <w:rsid w:val="00A37A37"/>
    <w:rsid w:val="00B27373"/>
    <w:rsid w:val="00B42AC5"/>
    <w:rsid w:val="00B74EF5"/>
    <w:rsid w:val="00BB3538"/>
    <w:rsid w:val="00C5076C"/>
    <w:rsid w:val="00C6365E"/>
    <w:rsid w:val="00CA2500"/>
    <w:rsid w:val="00D16246"/>
    <w:rsid w:val="00D91CB9"/>
    <w:rsid w:val="00DF3E7F"/>
    <w:rsid w:val="00DF5C43"/>
    <w:rsid w:val="00E31605"/>
    <w:rsid w:val="00EA21CF"/>
    <w:rsid w:val="00EE548B"/>
    <w:rsid w:val="00F36A41"/>
    <w:rsid w:val="00F37CB8"/>
    <w:rsid w:val="00FA6414"/>
    <w:rsid w:val="00FC4246"/>
    <w:rsid w:val="0109259B"/>
    <w:rsid w:val="0109472D"/>
    <w:rsid w:val="011016B5"/>
    <w:rsid w:val="011D6D5F"/>
    <w:rsid w:val="011F3E8E"/>
    <w:rsid w:val="012E1FA3"/>
    <w:rsid w:val="012E3C09"/>
    <w:rsid w:val="0137275C"/>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26898"/>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46A3C"/>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C3FC6"/>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B716C"/>
    <w:rsid w:val="18AE06A5"/>
    <w:rsid w:val="18AE2983"/>
    <w:rsid w:val="18AE40DD"/>
    <w:rsid w:val="18B155BE"/>
    <w:rsid w:val="18BC07D1"/>
    <w:rsid w:val="18BC6EC0"/>
    <w:rsid w:val="18C52F93"/>
    <w:rsid w:val="18C820D7"/>
    <w:rsid w:val="18D37869"/>
    <w:rsid w:val="18D9034C"/>
    <w:rsid w:val="18DD51D2"/>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02E7C"/>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41B6C"/>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D5166A"/>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533E0"/>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051A3"/>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3387F"/>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80402"/>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D1E52"/>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1A2D68"/>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B37E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B75F59"/>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F341C"/>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01A4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C3588"/>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33467"/>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DF39BA"/>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06C"/>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D40FDD"/>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2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qFormat/>
    <w:uiPriority w:val="0"/>
    <w:rPr>
      <w:color w:val="954F72" w:themeColor="followedHyperlink"/>
      <w:u w:val="single"/>
      <w14:textFill>
        <w14:solidFill>
          <w14:schemeClr w14:val="folHlink"/>
        </w14:solidFill>
      </w14:textFill>
    </w:rPr>
  </w:style>
  <w:style w:type="character" w:styleId="12">
    <w:name w:val="line number"/>
    <w:basedOn w:val="10"/>
    <w:qFormat/>
    <w:uiPriority w:val="0"/>
  </w:style>
  <w:style w:type="character" w:styleId="13">
    <w:name w:val="Hyperlink"/>
    <w:basedOn w:val="10"/>
    <w:qFormat/>
    <w:uiPriority w:val="0"/>
    <w:rPr>
      <w:color w:val="0000FF"/>
      <w:u w:val="single"/>
    </w:rPr>
  </w:style>
  <w:style w:type="paragraph" w:customStyle="1" w:styleId="14">
    <w:name w:val="MDPI_7.1_References"/>
    <w:basedOn w:val="15"/>
    <w:qFormat/>
    <w:uiPriority w:val="0"/>
    <w:pPr>
      <w:numPr>
        <w:ilvl w:val="0"/>
        <w:numId w:val="1"/>
      </w:numPr>
      <w:spacing w:before="0" w:line="260" w:lineRule="atLeast"/>
      <w:ind w:left="425" w:hanging="425"/>
    </w:pPr>
  </w:style>
  <w:style w:type="paragraph" w:customStyle="1" w:styleId="15">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6">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7">
    <w:name w:val="MDPI_footer_firstpage"/>
    <w:basedOn w:val="18"/>
    <w:qFormat/>
    <w:uiPriority w:val="0"/>
    <w:pPr>
      <w:tabs>
        <w:tab w:val="right" w:pos="8845"/>
      </w:tabs>
      <w:spacing w:line="160" w:lineRule="exact"/>
      <w:jc w:val="left"/>
    </w:pPr>
    <w:rPr>
      <w:sz w:val="16"/>
    </w:rPr>
  </w:style>
  <w:style w:type="paragraph" w:customStyle="1" w:styleId="18">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19">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0">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1">
    <w:name w:val="M_deck_5_table_body_three_lines"/>
    <w:basedOn w:val="8"/>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2">
    <w:name w:val="MDPI_3.9_equation"/>
    <w:basedOn w:val="23"/>
    <w:qFormat/>
    <w:uiPriority w:val="0"/>
    <w:pPr>
      <w:spacing w:before="120" w:after="120"/>
      <w:ind w:left="709" w:firstLine="0"/>
      <w:jc w:val="center"/>
    </w:pPr>
  </w:style>
  <w:style w:type="paragraph" w:customStyle="1" w:styleId="23">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4">
    <w:name w:val="MDPI_3.a_equation_number"/>
    <w:basedOn w:val="23"/>
    <w:qFormat/>
    <w:uiPriority w:val="0"/>
    <w:pPr>
      <w:spacing w:before="120" w:after="120" w:line="240" w:lineRule="auto"/>
      <w:ind w:firstLine="0"/>
      <w:jc w:val="right"/>
    </w:pPr>
  </w:style>
  <w:style w:type="character" w:customStyle="1" w:styleId="25">
    <w:name w:val="批注框文本 字符"/>
    <w:basedOn w:val="10"/>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wmf"/><Relationship Id="rId12" Type="http://schemas.openxmlformats.org/officeDocument/2006/relationships/oleObject" Target="embeddings/oleObject1.bin"/><Relationship Id="rId11" Type="http://schemas.openxmlformats.org/officeDocument/2006/relationships/chart" Target="charts/chart1.xml"/><Relationship Id="rId10" Type="http://schemas.openxmlformats.org/officeDocument/2006/relationships/image" Target="media/image4.jpeg"/><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03505152"/>
        <c:axId val="203449472"/>
      </c:barChart>
      <c:catAx>
        <c:axId val="203505152"/>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3449472"/>
        <c:crosses val="autoZero"/>
        <c:auto val="1"/>
        <c:lblAlgn val="ctr"/>
        <c:lblOffset val="100"/>
        <c:tickLblSkip val="1"/>
        <c:noMultiLvlLbl val="0"/>
      </c:catAx>
      <c:valAx>
        <c:axId val="203449472"/>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3505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1951</Words>
  <Characters>11122</Characters>
  <Lines>92</Lines>
  <Paragraphs>26</Paragraphs>
  <TotalTime>1</TotalTime>
  <ScaleCrop>false</ScaleCrop>
  <LinksUpToDate>false</LinksUpToDate>
  <CharactersWithSpaces>13047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Judith Duan</cp:lastModifiedBy>
  <dcterms:modified xsi:type="dcterms:W3CDTF">2021-06-09T05:24:17Z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57262BCB9E994ED08EB85CF8D9C55CA2</vt:lpwstr>
  </property>
</Properties>
</file>