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2639">
      <w:pPr>
        <w:adjustRightInd w:val="0"/>
        <w:snapToGrid w:val="0"/>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Commentary</w:t>
      </w:r>
    </w:p>
    <w:p w14:paraId="71D72799">
      <w:pPr>
        <w:adjustRightInd w:val="0"/>
        <w:snapToGrid w:val="0"/>
        <w:spacing w:line="360" w:lineRule="auto"/>
        <w:jc w:val="left"/>
        <w:rPr>
          <w:rFonts w:ascii="Times New Roman" w:hAnsi="Times New Roman" w:eastAsia="宋体" w:cs="Times New Roman"/>
          <w:b/>
          <w:bCs/>
          <w:sz w:val="24"/>
        </w:rPr>
      </w:pPr>
    </w:p>
    <w:p w14:paraId="7C5D5965">
      <w:pPr>
        <w:adjustRightInd w:val="0"/>
        <w:snapToGrid w:val="0"/>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Concisely convey the main topic(s) of the research</w:t>
      </w:r>
    </w:p>
    <w:p w14:paraId="0D3F2C86">
      <w:pPr>
        <w:adjustRightInd w:val="0"/>
        <w:snapToGrid w:val="0"/>
        <w:spacing w:line="360" w:lineRule="auto"/>
        <w:jc w:val="left"/>
        <w:rPr>
          <w:rFonts w:ascii="Times New Roman" w:hAnsi="Times New Roman" w:eastAsia="宋体" w:cs="Times New Roman"/>
          <w:color w:val="3B3838" w:themeColor="background2" w:themeShade="40"/>
          <w:sz w:val="20"/>
          <w:szCs w:val="20"/>
        </w:rPr>
      </w:pPr>
      <w:r>
        <w:rPr>
          <w:rFonts w:ascii="Times New Roman" w:hAnsi="Times New Roman" w:eastAsia="宋体" w:cs="Times New Roman"/>
          <w:iCs/>
          <w:color w:val="767171" w:themeColor="background2" w:themeShade="80"/>
          <w:sz w:val="20"/>
          <w:szCs w:val="20"/>
        </w:rPr>
        <w:t>[</w:t>
      </w:r>
      <w:r>
        <w:rPr>
          <w:rFonts w:ascii="Times New Roman" w:hAnsi="Times New Roman" w:eastAsia="宋体"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eastAsia="宋体" w:cs="Times New Roman"/>
          <w:b/>
          <w:bCs/>
          <w:iCs/>
          <w:color w:val="767171" w:themeColor="background2" w:themeShade="80"/>
          <w:sz w:val="20"/>
          <w:szCs w:val="20"/>
        </w:rPr>
        <w:t>Avoid abbreviations and formulae where possible</w:t>
      </w:r>
      <w:bookmarkEnd w:id="0"/>
      <w:r>
        <w:rPr>
          <w:rFonts w:ascii="Times New Roman" w:hAnsi="Times New Roman" w:eastAsia="宋体" w:cs="Times New Roman"/>
          <w:iCs/>
          <w:color w:val="767171" w:themeColor="background2" w:themeShade="80"/>
          <w:sz w:val="20"/>
          <w:szCs w:val="20"/>
        </w:rPr>
        <w:t>]</w:t>
      </w:r>
    </w:p>
    <w:p w14:paraId="41502EB3">
      <w:pPr>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10792EE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0283D7E">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07A037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FEFDED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DE1F32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790FEE6">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authors’ affiliations should be provided in this format: Department, Institution, City, Postcode, Country]</w:t>
      </w:r>
    </w:p>
    <w:p w14:paraId="2635444C">
      <w:pPr>
        <w:adjustRightInd w:val="0"/>
        <w:snapToGrid w:val="0"/>
        <w:spacing w:line="360" w:lineRule="auto"/>
        <w:jc w:val="left"/>
        <w:rPr>
          <w:rFonts w:ascii="Times New Roman" w:hAnsi="Times New Roman" w:eastAsia="宋体" w:cs="Times New Roman"/>
          <w:b/>
          <w:bCs/>
          <w:i/>
          <w:iCs/>
          <w:color w:val="3B3838" w:themeColor="background2" w:themeShade="40"/>
          <w:sz w:val="20"/>
          <w:szCs w:val="20"/>
        </w:rPr>
      </w:pPr>
    </w:p>
    <w:p w14:paraId="01471664">
      <w:pPr>
        <w:adjustRightInd w:val="0"/>
        <w:snapToGrid w:val="0"/>
        <w:spacing w:line="360" w:lineRule="auto"/>
        <w:jc w:val="left"/>
        <w:rPr>
          <w:rFonts w:ascii="Times New Roman" w:hAnsi="Times New Roman" w:eastAsia="宋体"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Fonts w:ascii="Times New Roman" w:hAnsi="Times New Roman" w:eastAsia="Times New Roman" w:cs="Times New Roman"/>
          <w:iCs/>
          <w:color w:val="190F13"/>
          <w:sz w:val="24"/>
          <w:u w:val="single"/>
        </w:rPr>
        <w:t>xxxx@xxxx.xxx</w:t>
      </w:r>
      <w:r>
        <w:rPr>
          <w:rFonts w:ascii="Times New Roman" w:hAnsi="Times New Roman" w:eastAsia="Times New Roman" w:cs="Times New Roman"/>
          <w:iCs/>
          <w:color w:val="190F13"/>
          <w:sz w:val="24"/>
          <w:u w:val="single"/>
        </w:rPr>
        <w:fldChar w:fldCharType="end"/>
      </w:r>
    </w:p>
    <w:p w14:paraId="46C46572">
      <w:pPr>
        <w:adjustRightInd w:val="0"/>
        <w:snapToGrid w:val="0"/>
        <w:spacing w:line="360" w:lineRule="auto"/>
        <w:jc w:val="left"/>
        <w:rPr>
          <w:rFonts w:ascii="Times New Roman" w:hAnsi="Times New Roman" w:eastAsia="Times New Roman" w:cs="Times New Roman"/>
          <w:iCs/>
          <w:color w:val="190F13"/>
          <w:sz w:val="24"/>
        </w:rPr>
      </w:pPr>
    </w:p>
    <w:p w14:paraId="6CB0D255">
      <w:pPr>
        <w:adjustRightInd w:val="0"/>
        <w:snapToGrid w:val="0"/>
        <w:spacing w:line="360" w:lineRule="auto"/>
        <w:jc w:val="left"/>
        <w:rPr>
          <w:rFonts w:ascii="Times New Roman" w:hAnsi="Times New Roman" w:eastAsia="宋体"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68844A70">
      <w:pPr>
        <w:adjustRightInd w:val="0"/>
        <w:snapToGrid w:val="0"/>
        <w:spacing w:line="360" w:lineRule="auto"/>
        <w:jc w:val="left"/>
        <w:rPr>
          <w:rFonts w:ascii="Times New Roman" w:hAnsi="Times New Roman" w:eastAsia="宋体" w:cs="Times New Roman"/>
          <w:b/>
          <w:bCs/>
          <w:color w:val="767171" w:themeColor="background2" w:themeShade="80"/>
          <w:szCs w:val="21"/>
        </w:rPr>
      </w:pPr>
      <w:r>
        <w:rPr>
          <w:rFonts w:ascii="Times New Roman" w:hAnsi="Times New Roman" w:eastAsia="宋体" w:cs="Times New Roman"/>
          <w:b/>
          <w:bCs/>
          <w:color w:val="767171" w:themeColor="background2" w:themeShade="80"/>
          <w:szCs w:val="21"/>
        </w:rPr>
        <w:t>[e.g., 1 Jan 2023]</w:t>
      </w:r>
    </w:p>
    <w:p w14:paraId="3037D07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0E0A5A8F">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14038E99">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This template shows the manuscript structure that can be used in a Commentary. Please note that each part has a corresponding style, which authors should follow. The fonts in gray show writing requirements. The section titles given are for reference. Other requirements please refer to the </w:t>
      </w:r>
      <w:r>
        <w:fldChar w:fldCharType="begin"/>
      </w:r>
      <w:r>
        <w:instrText xml:space="preserve"> HYPERLINK "https://segcjournal.com/pages/view/author_instructions" </w:instrText>
      </w:r>
      <w:r>
        <w:fldChar w:fldCharType="separate"/>
      </w:r>
      <w:r>
        <w:rPr>
          <w:rFonts w:ascii="Times New Roman" w:hAnsi="Times New Roman" w:eastAsia="宋体" w:cs="Times New Roman"/>
          <w:color w:val="0000FF"/>
          <w:u w:val="single"/>
        </w:rPr>
        <w:t>Author Instructions</w:t>
      </w:r>
      <w:r>
        <w:rPr>
          <w:rFonts w:ascii="Times New Roman" w:hAnsi="Times New Roman" w:eastAsia="宋体" w:cs="Times New Roman"/>
          <w:color w:val="0000FF"/>
          <w:u w:val="single"/>
        </w:rPr>
        <w:fldChar w:fldCharType="end"/>
      </w:r>
      <w:r>
        <w:rPr>
          <w:rFonts w:ascii="Times New Roman" w:hAnsi="Times New Roman" w:eastAsia="宋体" w:cs="Times New Roman"/>
          <w:b/>
          <w:bCs/>
          <w:color w:val="767171" w:themeColor="background2" w:themeShade="80"/>
          <w:sz w:val="20"/>
          <w:szCs w:val="20"/>
        </w:rPr>
        <w:t xml:space="preserve">. For any questions, you may contact the </w:t>
      </w:r>
      <w:r>
        <w:fldChar w:fldCharType="begin"/>
      </w:r>
      <w:r>
        <w:instrText xml:space="preserve"> HYPERLINK "mailto:editorial@segcjournal.com" </w:instrText>
      </w:r>
      <w:r>
        <w:fldChar w:fldCharType="separate"/>
      </w:r>
      <w:r>
        <w:rPr>
          <w:rFonts w:ascii="Times New Roman" w:hAnsi="Times New Roman" w:eastAsia="宋体" w:cs="Times New Roman"/>
          <w:b/>
          <w:bCs/>
          <w:color w:val="767171" w:themeColor="background2" w:themeShade="80"/>
          <w:sz w:val="20"/>
          <w:szCs w:val="20"/>
          <w:u w:val="single"/>
        </w:rPr>
        <w:t>editorial@segcjournal.com</w:t>
      </w:r>
      <w:r>
        <w:rPr>
          <w:rFonts w:ascii="Times New Roman" w:hAnsi="Times New Roman" w:eastAsia="宋体" w:cs="Times New Roman"/>
          <w:b/>
          <w:bCs/>
          <w:color w:val="767171" w:themeColor="background2" w:themeShade="80"/>
          <w:sz w:val="20"/>
          <w:szCs w:val="20"/>
          <w:u w:val="single"/>
        </w:rPr>
        <w:fldChar w:fldCharType="end"/>
      </w:r>
    </w:p>
    <w:p w14:paraId="2D694A50">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22" w:name="_GoBack"/>
      <w:bookmarkEnd w:id="22"/>
    </w:p>
    <w:p w14:paraId="3B38ABC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5B03DC1">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[Suggestions: No more than 250 words. No citations. Define abbreviations at their first mention]</w:t>
      </w:r>
    </w:p>
    <w:p w14:paraId="180EA91B">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14:paraId="6F0FA9EF">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ascii="Times New Roman" w:hAnsi="Times New Roman" w:eastAsia="宋体" w:cs="Times New Roman"/>
          <w:iCs/>
          <w:sz w:val="24"/>
        </w:rPr>
        <w:t xml:space="preserve"> Unstructured.</w:t>
      </w:r>
    </w:p>
    <w:p w14:paraId="3444DA1B">
      <w:pPr>
        <w:adjustRightInd w:val="0"/>
        <w:snapToGrid w:val="0"/>
        <w:spacing w:line="360" w:lineRule="auto"/>
        <w:jc w:val="left"/>
        <w:rPr>
          <w:rFonts w:ascii="Times New Roman" w:hAnsi="Times New Roman" w:eastAsia="宋体" w:cs="Times New Roman"/>
          <w:b/>
          <w:bCs/>
          <w:i/>
          <w:color w:val="808080" w:themeColor="background1" w:themeShade="80"/>
          <w:sz w:val="24"/>
        </w:rPr>
      </w:pPr>
    </w:p>
    <w:p w14:paraId="2C5A8323">
      <w:pPr>
        <w:adjustRightInd w:val="0"/>
        <w:snapToGrid w:val="0"/>
        <w:spacing w:line="360" w:lineRule="auto"/>
        <w:jc w:val="left"/>
        <w:rPr>
          <w:rFonts w:ascii="Times New Roman" w:hAnsi="Times New Roman" w:eastAsia="宋体" w:cs="Times New Roman"/>
          <w:sz w:val="24"/>
        </w:rPr>
      </w:pPr>
      <w:r>
        <w:rPr>
          <w:rFonts w:ascii="Times New Roman" w:hAnsi="Times New Roman" w:eastAsia="Times New Roman" w:cs="Times New Roman"/>
          <w:b/>
          <w:bCs/>
          <w:iCs/>
          <w:color w:val="190F13"/>
          <w:sz w:val="24"/>
        </w:rPr>
        <w:t>Keywords:</w:t>
      </w:r>
      <w:r>
        <w:rPr>
          <w:rFonts w:ascii="Times New Roman" w:hAnsi="Times New Roman" w:eastAsia="宋体" w:cs="Times New Roman"/>
          <w:sz w:val="24"/>
        </w:rPr>
        <w:t xml:space="preserve"> Data mining, cryptographic protocols, data anonymization, resilience, deep learning, cost function, clould computing</w:t>
      </w:r>
    </w:p>
    <w:p w14:paraId="7A7D0629">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[Please provide 3-8 keywords which can be used for describing the content of the manuscript and will enable the full text of the manuscript to be searchable online. Capitalize the first letter of the first keyword and split each keyword by a comma “,”. Be sparing with abbreviations: only abbreviations firmly established in the field may be eligible]</w:t>
      </w:r>
    </w:p>
    <w:p w14:paraId="7EB6C17B">
      <w:pPr>
        <w:adjustRightInd w:val="0"/>
        <w:snapToGrid w:val="0"/>
        <w:spacing w:line="360" w:lineRule="auto"/>
        <w:jc w:val="left"/>
        <w:rPr>
          <w:rFonts w:ascii="Times New Roman" w:hAnsi="Times New Roman" w:eastAsia="Times New Roman" w:cs="Times New Roman"/>
          <w:i/>
          <w:color w:val="190F13"/>
          <w:sz w:val="24"/>
        </w:rPr>
      </w:pPr>
    </w:p>
    <w:bookmarkEnd w:id="3"/>
    <w:p w14:paraId="42509EB5">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 xml:space="preserve">1. LEVEL ONE HEADING </w:t>
      </w:r>
    </w:p>
    <w:p w14:paraId="3CE568B1">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color w:val="767171" w:themeColor="background2" w:themeShade="80"/>
          <w:sz w:val="20"/>
          <w:szCs w:val="20"/>
        </w:rPr>
        <w:t>[Level one headings should be in bold, all letters should be capitalized, and numbered using Arabic numbers]</w:t>
      </w:r>
    </w:p>
    <w:p w14:paraId="252A253E">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14:paraId="7D3462AC">
      <w:pPr>
        <w:adjustRightInd w:val="0"/>
        <w:snapToGrid w:val="0"/>
        <w:spacing w:line="360" w:lineRule="auto"/>
        <w:jc w:val="left"/>
        <w:rPr>
          <w:rFonts w:ascii="Times New Roman" w:hAnsi="Times New Roman" w:eastAsia="宋体" w:cs="Times New Roman"/>
          <w:sz w:val="24"/>
        </w:rPr>
      </w:pPr>
    </w:p>
    <w:p w14:paraId="0101D17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1.1 Level 2 heading </w:t>
      </w:r>
    </w:p>
    <w:p w14:paraId="21DB73F0">
      <w:pPr>
        <w:widowControl/>
        <w:adjustRightInd w:val="0"/>
        <w:snapToGrid w:val="0"/>
        <w:spacing w:line="360" w:lineRule="auto"/>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i/>
          <w:iCs/>
          <w:color w:val="767171" w:themeColor="background2" w:themeShade="80"/>
          <w:sz w:val="20"/>
          <w:szCs w:val="20"/>
        </w:rPr>
        <w:t>[Level two headings should be in bold, the first letter should be capitalized, and numbered using Arabic numbers]</w:t>
      </w:r>
    </w:p>
    <w:p w14:paraId="237B9649">
      <w:pPr>
        <w:widowControl/>
        <w:adjustRightInd w:val="0"/>
        <w:snapToGrid w:val="0"/>
        <w:spacing w:line="360" w:lineRule="auto"/>
        <w:jc w:val="left"/>
        <w:rPr>
          <w:rFonts w:ascii="Times New Roman" w:hAnsi="Times New Roman" w:eastAsia="宋体" w:cs="Times New Roman"/>
          <w:b/>
          <w:bCs/>
          <w:i/>
          <w:iCs/>
          <w:color w:val="767171" w:themeColor="background2" w:themeShade="80"/>
          <w:sz w:val="20"/>
          <w:szCs w:val="20"/>
        </w:rPr>
      </w:pPr>
    </w:p>
    <w:p w14:paraId="76B3408F">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 xml:space="preserve">1.1.1 Level 3 heading </w:t>
      </w:r>
    </w:p>
    <w:p w14:paraId="68B14A24">
      <w:pPr>
        <w:widowControl/>
        <w:adjustRightInd w:val="0"/>
        <w:snapToGrid w:val="0"/>
        <w:spacing w:line="360" w:lineRule="auto"/>
        <w:jc w:val="left"/>
        <w:rPr>
          <w:rFonts w:ascii="Times New Roman" w:hAnsi="Times New Roman" w:eastAsia="宋体" w:cs="Times New Roman"/>
          <w:b/>
          <w:bCs/>
          <w:color w:val="808080" w:themeColor="background1" w:themeShade="80"/>
          <w:sz w:val="24"/>
        </w:rPr>
      </w:pPr>
      <w:r>
        <w:rPr>
          <w:rFonts w:ascii="Times New Roman" w:hAnsi="Times New Roman" w:eastAsia="宋体" w:cs="Times New Roman"/>
          <w:b/>
          <w:bCs/>
          <w:i/>
          <w:iCs/>
          <w:color w:val="767171" w:themeColor="background2" w:themeShade="80"/>
          <w:sz w:val="20"/>
          <w:szCs w:val="20"/>
        </w:rPr>
        <w:t>[Level three headings should be italicized, the first letter should be capitalized, and numbered using Arabic numbers]</w:t>
      </w:r>
    </w:p>
    <w:p w14:paraId="0C48C157">
      <w:pPr>
        <w:widowControl/>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40576AD3">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b/>
          <w:bCs/>
          <w:sz w:val="24"/>
        </w:rPr>
        <w:t>Table 1</w:t>
      </w:r>
      <w:r>
        <w:rPr>
          <w:rFonts w:ascii="Times New Roman" w:hAnsi="Times New Roman" w:eastAsia="宋体" w:cs="Times New Roman"/>
          <w:sz w:val="24"/>
        </w:rPr>
        <w:t xml:space="preserve"> (other forms: Tables 1 and 2; Tables 1-3),</w:t>
      </w:r>
      <w:r>
        <w:rPr>
          <w:rFonts w:ascii="Times New Roman" w:hAnsi="Times New Roman" w:eastAsia="宋体" w:cs="Times New Roman"/>
          <w:b/>
          <w:bCs/>
          <w:i/>
          <w:iCs/>
          <w:sz w:val="24"/>
        </w:rPr>
        <w:t xml:space="preserve"> </w:t>
      </w:r>
      <w:r>
        <w:rPr>
          <w:rFonts w:ascii="Times New Roman" w:hAnsi="Times New Roman" w:eastAsia="宋体" w:cs="Times New Roman"/>
          <w:b/>
          <w:bCs/>
          <w:sz w:val="24"/>
        </w:rPr>
        <w:t>Equation (1)</w:t>
      </w:r>
      <w:r>
        <w:rPr>
          <w:rFonts w:ascii="Times New Roman" w:hAnsi="Times New Roman" w:eastAsia="宋体" w:cs="Times New Roman"/>
          <w:sz w:val="24"/>
        </w:rPr>
        <w:t xml:space="preserve"> </w:t>
      </w:r>
      <w:r>
        <w:rPr>
          <w:rFonts w:ascii="Times New Roman" w:hAnsi="Times New Roman" w:eastAsia="宋体" w:cs="Times New Roman"/>
          <w:w w:val="101"/>
          <w:sz w:val="24"/>
        </w:rPr>
        <w:t xml:space="preserve">[other forms: Equations (2) and (3); Equations (4-6)] and </w:t>
      </w:r>
      <w:r>
        <w:rPr>
          <w:rFonts w:ascii="Times New Roman" w:hAnsi="Times New Roman" w:eastAsia="宋体" w:cs="Times New Roman"/>
          <w:b/>
          <w:bCs/>
          <w:w w:val="101"/>
          <w:sz w:val="24"/>
        </w:rPr>
        <w:t>Figure 1</w:t>
      </w:r>
      <w:r>
        <w:rPr>
          <w:rFonts w:ascii="Times New Roman" w:hAnsi="Times New Roman" w:eastAsia="宋体" w:cs="Times New Roman"/>
          <w:w w:val="101"/>
          <w:sz w:val="24"/>
        </w:rPr>
        <w:t xml:space="preserve"> (other forms: Figure 1A and B; Figure </w:t>
      </w:r>
      <w:r>
        <w:rPr>
          <w:rFonts w:ascii="Times New Roman" w:hAnsi="Times New Roman" w:eastAsia="宋体"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eastAsia="宋体" w:cs="Times New Roman"/>
          <w:b/>
          <w:bCs/>
          <w:sz w:val="24"/>
        </w:rPr>
        <w:t>Supplementary Table 1</w:t>
      </w:r>
      <w:r>
        <w:rPr>
          <w:rFonts w:ascii="Times New Roman" w:hAnsi="Times New Roman" w:eastAsia="宋体" w:cs="Times New Roman"/>
          <w:sz w:val="24"/>
        </w:rPr>
        <w:t xml:space="preserve">, </w:t>
      </w:r>
      <w:r>
        <w:rPr>
          <w:rFonts w:ascii="Times New Roman" w:hAnsi="Times New Roman" w:eastAsia="宋体" w:cs="Times New Roman"/>
          <w:b/>
          <w:bCs/>
          <w:sz w:val="24"/>
        </w:rPr>
        <w:t>Supplementary Equation (1)</w:t>
      </w:r>
      <w:r>
        <w:rPr>
          <w:rFonts w:ascii="Times New Roman" w:hAnsi="Times New Roman" w:eastAsia="宋体" w:cs="Times New Roman"/>
          <w:sz w:val="24"/>
        </w:rPr>
        <w:t xml:space="preserve"> and </w:t>
      </w:r>
      <w:r>
        <w:rPr>
          <w:rFonts w:ascii="Times New Roman" w:hAnsi="Times New Roman" w:eastAsia="宋体" w:cs="Times New Roman"/>
          <w:b/>
          <w:bCs/>
          <w:sz w:val="24"/>
        </w:rPr>
        <w:t>Supplementary Figure 1</w:t>
      </w:r>
      <w:r>
        <w:rPr>
          <w:rFonts w:ascii="Times New Roman" w:hAnsi="Times New Roman" w:eastAsia="宋体" w:cs="Times New Roman"/>
          <w:sz w:val="24"/>
        </w:rPr>
        <w:t xml:space="preserve">. For details, you may refer to </w:t>
      </w:r>
      <w:r>
        <w:fldChar w:fldCharType="begin"/>
      </w:r>
      <w:r>
        <w:instrText xml:space="preserve"> HYPERLINK "https://f.oaes.cc/files/tpl/jsegc/Template_for_Supplementary_Material_jsegc.docx" </w:instrText>
      </w:r>
      <w:r>
        <w:fldChar w:fldCharType="separate"/>
      </w:r>
      <w:r>
        <w:rPr>
          <w:rFonts w:ascii="Times New Roman" w:hAnsi="Times New Roman" w:eastAsia="宋体" w:cs="Times New Roman"/>
          <w:b/>
          <w:bCs/>
          <w:color w:val="0000FF"/>
          <w:sz w:val="24"/>
          <w:u w:val="single"/>
        </w:rPr>
        <w:t>Supplementary Material Template</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w:t>
      </w:r>
    </w:p>
    <w:p w14:paraId="265DCDF8">
      <w:pPr>
        <w:widowControl/>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Tips:</w:t>
      </w:r>
    </w:p>
    <w:p w14:paraId="2B5BF1AB">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Results should be presented in a logical sequence;</w:t>
      </w:r>
    </w:p>
    <w:p w14:paraId="3D22BFFA">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Avoid redundant explanations to all the data from the tables or illustrations.</w:t>
      </w:r>
    </w:p>
    <w:p w14:paraId="6B7A241B">
      <w:pPr>
        <w:adjustRightInd w:val="0"/>
        <w:snapToGrid w:val="0"/>
        <w:spacing w:line="360" w:lineRule="auto"/>
        <w:jc w:val="left"/>
        <w:rPr>
          <w:rFonts w:ascii="Times New Roman" w:hAnsi="Times New Roman" w:eastAsia="宋体" w:cs="Times New Roman"/>
          <w:b/>
          <w:bCs/>
          <w:i/>
          <w:iCs/>
          <w:color w:val="808080" w:themeColor="background1" w:themeShade="80"/>
          <w:sz w:val="24"/>
        </w:rPr>
      </w:pPr>
    </w:p>
    <w:p w14:paraId="7EB22757">
      <w:pPr>
        <w:widowControl/>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9"/>
        <w:tblW w:w="867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4"/>
        <w:gridCol w:w="724"/>
        <w:gridCol w:w="1078"/>
        <w:gridCol w:w="1092"/>
        <w:gridCol w:w="901"/>
        <w:gridCol w:w="1326"/>
      </w:tblGrid>
      <w:tr w14:paraId="3E47240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vAlign w:val="center"/>
          </w:tcPr>
          <w:p w14:paraId="12BA9CE0">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vAlign w:val="center"/>
          </w:tcPr>
          <w:p w14:paraId="2B54162E">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vAlign w:val="center"/>
          </w:tcPr>
          <w:p w14:paraId="77EA0355">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vAlign w:val="center"/>
          </w:tcPr>
          <w:p w14:paraId="756FE701">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vAlign w:val="center"/>
          </w:tcPr>
          <w:p w14:paraId="08BFFA0D">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vAlign w:val="center"/>
          </w:tcPr>
          <w:p w14:paraId="2C1030FF">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vAlign w:val="center"/>
          </w:tcPr>
          <w:p w14:paraId="4CE9DAF8">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vAlign w:val="center"/>
          </w:tcPr>
          <w:p w14:paraId="7CC7AC1F">
            <w:pPr>
              <w:widowControl/>
              <w:adjustRightInd w:val="0"/>
              <w:snapToGrid w:val="0"/>
              <w:spacing w:line="360" w:lineRule="auto"/>
              <w:jc w:val="left"/>
              <w:rPr>
                <w:rFonts w:ascii="Times New Roman" w:hAnsi="Times New Roman" w:eastAsia="宋体" w:cs="Times New Roman"/>
                <w:b/>
                <w:bCs/>
                <w:snapToGrid w:val="0"/>
                <w:color w:val="000000"/>
                <w:kern w:val="0"/>
                <w:sz w:val="20"/>
                <w:szCs w:val="20"/>
                <w:lang w:val="de-DE"/>
              </w:rPr>
            </w:pPr>
            <w:r>
              <w:rPr>
                <w:rFonts w:ascii="Times New Roman" w:hAnsi="Times New Roman" w:eastAsia="宋体" w:cs="Times New Roman"/>
                <w:b/>
                <w:bCs/>
                <w:snapToGrid w:val="0"/>
                <w:color w:val="000000"/>
                <w:kern w:val="0"/>
                <w:sz w:val="20"/>
                <w:szCs w:val="20"/>
                <w:lang w:val="de-DE"/>
              </w:rPr>
              <w:t>Memory access protection</w:t>
            </w:r>
          </w:p>
        </w:tc>
      </w:tr>
      <w:tr w14:paraId="3EE90FE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tcBorders>
              <w:top w:val="nil"/>
              <w:left w:val="nil"/>
              <w:bottom w:val="single" w:color="auto" w:sz="8" w:space="0"/>
              <w:right w:val="nil"/>
            </w:tcBorders>
            <w:vAlign w:val="center"/>
          </w:tcPr>
          <w:p w14:paraId="4ECD30BB">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NT4H2421Gx</w:t>
            </w:r>
          </w:p>
          <w:p w14:paraId="3E3B38D5">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NTAG21x</w:t>
            </w:r>
          </w:p>
          <w:p w14:paraId="65ED8D9F">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Times New Roman" w:hAnsi="Times New Roman" w:eastAsia="宋体" w:cs="Times New Roman"/>
                <w:color w:val="000000"/>
                <w:kern w:val="0"/>
                <w:sz w:val="20"/>
                <w:szCs w:val="20"/>
                <w:lang w:val="de-DE"/>
              </w:rPr>
              <w:t>NTAG210μ</w:t>
            </w:r>
          </w:p>
        </w:tc>
        <w:tc>
          <w:tcPr>
            <w:tcW w:w="901" w:type="dxa"/>
            <w:tcBorders>
              <w:top w:val="nil"/>
              <w:left w:val="nil"/>
              <w:bottom w:val="single" w:color="auto" w:sz="8" w:space="0"/>
              <w:right w:val="nil"/>
            </w:tcBorders>
            <w:vAlign w:val="center"/>
          </w:tcPr>
          <w:p w14:paraId="0A5DABAC">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248E1DAF">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253" w:type="dxa"/>
            <w:tcBorders>
              <w:top w:val="nil"/>
              <w:left w:val="nil"/>
              <w:bottom w:val="single" w:color="auto" w:sz="8" w:space="0"/>
              <w:right w:val="nil"/>
            </w:tcBorders>
            <w:vAlign w:val="center"/>
          </w:tcPr>
          <w:p w14:paraId="5F87FDA8">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5A357928">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09B496F3">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723" w:type="dxa"/>
            <w:tcBorders>
              <w:top w:val="nil"/>
              <w:left w:val="nil"/>
              <w:bottom w:val="single" w:color="auto" w:sz="8" w:space="0"/>
              <w:right w:val="nil"/>
            </w:tcBorders>
            <w:vAlign w:val="center"/>
          </w:tcPr>
          <w:p w14:paraId="20BA2358">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31C56AF7">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52901E41">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077" w:type="dxa"/>
            <w:tcBorders>
              <w:top w:val="nil"/>
              <w:left w:val="nil"/>
              <w:bottom w:val="single" w:color="auto" w:sz="8" w:space="0"/>
              <w:right w:val="nil"/>
            </w:tcBorders>
            <w:vAlign w:val="center"/>
          </w:tcPr>
          <w:p w14:paraId="63BE2E8F">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499D1919">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p w14:paraId="517EE6F8">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091" w:type="dxa"/>
            <w:tcBorders>
              <w:top w:val="nil"/>
              <w:left w:val="nil"/>
              <w:bottom w:val="single" w:color="auto" w:sz="8" w:space="0"/>
              <w:right w:val="nil"/>
            </w:tcBorders>
            <w:vAlign w:val="center"/>
          </w:tcPr>
          <w:p w14:paraId="566436D8">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5733AF30">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900" w:type="dxa"/>
            <w:tcBorders>
              <w:top w:val="nil"/>
              <w:left w:val="nil"/>
              <w:bottom w:val="single" w:color="auto" w:sz="8" w:space="0"/>
              <w:right w:val="nil"/>
            </w:tcBorders>
            <w:vAlign w:val="center"/>
          </w:tcPr>
          <w:p w14:paraId="777E0380">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59E4B6CA">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c>
          <w:tcPr>
            <w:tcW w:w="1325" w:type="dxa"/>
            <w:tcBorders>
              <w:top w:val="nil"/>
              <w:left w:val="nil"/>
              <w:bottom w:val="single" w:color="auto" w:sz="8" w:space="0"/>
              <w:right w:val="nil"/>
            </w:tcBorders>
            <w:vAlign w:val="center"/>
          </w:tcPr>
          <w:p w14:paraId="7B3708A3">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r>
              <w:rPr>
                <w:rFonts w:ascii="Times New Roman" w:hAnsi="Times New Roman" w:eastAsia="宋体" w:cs="Times New Roman"/>
                <w:color w:val="000000"/>
                <w:kern w:val="0"/>
                <w:sz w:val="20"/>
                <w:szCs w:val="20"/>
                <w:lang w:val="de-DE"/>
              </w:rPr>
              <w:br w:type="textWrapping"/>
            </w:r>
            <w:r>
              <w:rPr>
                <w:rFonts w:ascii="MS Gothic" w:hAnsi="MS Gothic" w:eastAsia="MS Gothic" w:cs="MS Gothic"/>
                <w:color w:val="000000"/>
                <w:kern w:val="0"/>
                <w:sz w:val="20"/>
                <w:szCs w:val="20"/>
                <w:lang w:val="de-DE"/>
              </w:rPr>
              <w:t>✔</w:t>
            </w:r>
          </w:p>
          <w:p w14:paraId="2702B370">
            <w:pPr>
              <w:widowControl/>
              <w:adjustRightInd w:val="0"/>
              <w:snapToGrid w:val="0"/>
              <w:spacing w:line="360" w:lineRule="auto"/>
              <w:jc w:val="left"/>
              <w:rPr>
                <w:rFonts w:ascii="Times New Roman" w:hAnsi="Times New Roman" w:eastAsia="宋体" w:cs="Times New Roman"/>
                <w:color w:val="000000"/>
                <w:kern w:val="0"/>
                <w:sz w:val="20"/>
                <w:szCs w:val="20"/>
                <w:lang w:val="de-DE"/>
              </w:rPr>
            </w:pPr>
            <w:r>
              <w:rPr>
                <w:rFonts w:ascii="MS Gothic" w:hAnsi="MS Gothic" w:eastAsia="MS Gothic" w:cs="MS Gothic"/>
                <w:color w:val="000000"/>
                <w:kern w:val="0"/>
                <w:sz w:val="20"/>
                <w:szCs w:val="20"/>
                <w:lang w:val="de-DE"/>
              </w:rPr>
              <w:t>✘</w:t>
            </w:r>
          </w:p>
        </w:tc>
      </w:tr>
    </w:tbl>
    <w:p w14:paraId="7B4AC87D">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SDM: secure dynamic messaging. This table is cited with permission from XXX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[1]</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color w:val="000000"/>
          <w:kern w:val="0"/>
          <w:sz w:val="24"/>
        </w:rPr>
        <w:t>published in xxx</w:t>
      </w:r>
    </w:p>
    <w:p w14:paraId="0B71050B">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65FBE6BA">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 notes:</w:t>
      </w:r>
    </w:p>
    <w:p w14:paraId="74E8BA69">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Tables should be cited in numeric order and placed after the paragraph where it is first cited;</w:t>
      </w:r>
    </w:p>
    <w:p w14:paraId="6D342412">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table caption should be placed above the table and labeled sequentially (e.g., Table 1, Table 2);</w:t>
      </w:r>
    </w:p>
    <w:p w14:paraId="66E2B6CF">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Tables should be provided in editable form like DOC or DOCX format (picture is not allowed);</w:t>
      </w:r>
    </w:p>
    <w:p w14:paraId="362916C7">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Abbreviations and symbols used in table should be explained in footnote;</w:t>
      </w:r>
    </w:p>
    <w:p w14:paraId="306C402A">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Explanatory matter should also be placed in footnotes;</w:t>
      </w:r>
    </w:p>
    <w:p w14:paraId="40997E68">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Non-English words should be avoided;</w:t>
      </w:r>
    </w:p>
    <w:p w14:paraId="29C79A94">
      <w:pPr>
        <w:numPr>
          <w:ilvl w:val="0"/>
          <w:numId w:val="2"/>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4E30C84">
      <w:pPr>
        <w:numPr>
          <w:ilvl w:val="0"/>
          <w:numId w:val="2"/>
        </w:numPr>
        <w:adjustRightInd w:val="0"/>
        <w:snapToGrid w:val="0"/>
        <w:spacing w:line="360" w:lineRule="auto"/>
        <w:ind w:left="0" w:firstLine="0"/>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font size should not be larger than 12pt and can be adjusted according to the table content.</w:t>
      </w:r>
      <w:r>
        <w:rPr>
          <w:rFonts w:ascii="Times New Roman" w:hAnsi="Times New Roman" w:eastAsia="宋体" w:cs="Times New Roman"/>
          <w:b/>
          <w:bCs/>
          <w:i/>
          <w:iCs/>
          <w:color w:val="767171" w:themeColor="background2" w:themeShade="80"/>
          <w:sz w:val="20"/>
          <w:szCs w:val="20"/>
        </w:rPr>
        <w:t xml:space="preserve"> </w:t>
      </w:r>
    </w:p>
    <w:p w14:paraId="533DE269">
      <w:pPr>
        <w:adjustRightInd w:val="0"/>
        <w:snapToGrid w:val="0"/>
        <w:spacing w:line="360" w:lineRule="auto"/>
        <w:jc w:val="left"/>
        <w:rPr>
          <w:rFonts w:ascii="Times New Roman" w:hAnsi="Times New Roman" w:eastAsia="宋体" w:cs="Times New Roman"/>
          <w:b/>
          <w:bCs/>
          <w:i/>
          <w:iCs/>
          <w:color w:val="808080" w:themeColor="background1" w:themeShade="80"/>
          <w:sz w:val="24"/>
        </w:rPr>
      </w:pPr>
    </w:p>
    <w:tbl>
      <w:tblPr>
        <w:tblStyle w:val="10"/>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0F14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5A22BFA3">
            <w:pPr>
              <w:spacing w:line="360" w:lineRule="auto"/>
              <w:jc w:val="center"/>
              <w:rPr>
                <w:rFonts w:ascii="Times New Roman" w:hAnsi="Times New Roman" w:eastAsia="宋体" w:cs="Times New Roman"/>
                <w:sz w:val="24"/>
              </w:rPr>
            </w:pPr>
            <w:bookmarkStart w:id="4" w:name="OLE_LINK4"/>
            <w:r>
              <w:rPr>
                <w:rFonts w:ascii="Times New Roman" w:hAnsi="Times New Roman" w:eastAsia="宋体" w:cs="Times New Roman"/>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4"/>
          </w:p>
        </w:tc>
        <w:tc>
          <w:tcPr>
            <w:tcW w:w="435" w:type="dxa"/>
            <w:vAlign w:val="center"/>
          </w:tcPr>
          <w:p w14:paraId="386440ED">
            <w:pPr>
              <w:spacing w:line="360" w:lineRule="auto"/>
              <w:jc w:val="left"/>
              <w:rPr>
                <w:rFonts w:ascii="Times New Roman" w:hAnsi="Times New Roman" w:eastAsia="宋体" w:cs="Times New Roman"/>
                <w:sz w:val="24"/>
              </w:rPr>
            </w:pPr>
            <w:r>
              <w:rPr>
                <w:rFonts w:ascii="Times New Roman" w:hAnsi="Times New Roman" w:eastAsia="宋体" w:cs="Times New Roman"/>
                <w:sz w:val="24"/>
              </w:rPr>
              <w:t>(1)</w:t>
            </w:r>
          </w:p>
        </w:tc>
      </w:tr>
    </w:tbl>
    <w:p w14:paraId="7DCED422">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bookmarkStart w:id="5" w:name="OLE_LINK21"/>
      <w:r>
        <w:rPr>
          <w:rFonts w:ascii="Times New Roman" w:hAnsi="Times New Roman" w:eastAsia="宋体" w:cs="Times New Roman"/>
          <w:b/>
          <w:bCs/>
          <w:color w:val="767171" w:themeColor="background2" w:themeShade="80"/>
          <w:sz w:val="20"/>
          <w:szCs w:val="20"/>
        </w:rPr>
        <w:t>Equation</w:t>
      </w:r>
      <w:bookmarkEnd w:id="5"/>
      <w:r>
        <w:rPr>
          <w:rFonts w:ascii="Times New Roman" w:hAnsi="Times New Roman" w:eastAsia="宋体" w:cs="Times New Roman"/>
          <w:b/>
          <w:bCs/>
          <w:color w:val="767171" w:themeColor="background2" w:themeShade="80"/>
          <w:sz w:val="20"/>
          <w:szCs w:val="20"/>
        </w:rPr>
        <w:t xml:space="preserve"> note:</w:t>
      </w:r>
    </w:p>
    <w:p w14:paraId="21714DD0">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Display equations should be numbered consecutively, using Arabic numbers in parentheses. See Equation (1) for an example;</w:t>
      </w:r>
    </w:p>
    <w:p w14:paraId="29A296AD">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cs="Times New Roman"/>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4F7D245C">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All equations should be provided in editable form (image file format is not allowed).</w:t>
      </w:r>
    </w:p>
    <w:p w14:paraId="19526F90">
      <w:pPr>
        <w:adjustRightInd w:val="0"/>
        <w:snapToGrid w:val="0"/>
        <w:spacing w:line="360" w:lineRule="auto"/>
        <w:jc w:val="left"/>
        <w:rPr>
          <w:rFonts w:ascii="Times New Roman" w:hAnsi="Times New Roman" w:eastAsia="宋体" w:cs="Times New Roman"/>
          <w:b/>
          <w:bCs/>
          <w:i/>
          <w:iCs/>
          <w:color w:val="808080" w:themeColor="background1" w:themeShade="80"/>
          <w:sz w:val="18"/>
          <w:szCs w:val="18"/>
        </w:rPr>
      </w:pPr>
    </w:p>
    <w:tbl>
      <w:tblPr>
        <w:tblStyle w:val="9"/>
        <w:tblW w:w="8850" w:type="dxa"/>
        <w:tblInd w:w="0" w:type="dxa"/>
        <w:tblLayout w:type="fixed"/>
        <w:tblCellMar>
          <w:top w:w="0" w:type="dxa"/>
          <w:left w:w="108" w:type="dxa"/>
          <w:bottom w:w="0" w:type="dxa"/>
          <w:right w:w="108" w:type="dxa"/>
        </w:tblCellMar>
      </w:tblPr>
      <w:tblGrid>
        <w:gridCol w:w="4425"/>
        <w:gridCol w:w="4425"/>
      </w:tblGrid>
      <w:tr w14:paraId="4FA3085B">
        <w:tblPrEx>
          <w:tblCellMar>
            <w:top w:w="0" w:type="dxa"/>
            <w:left w:w="108" w:type="dxa"/>
            <w:bottom w:w="0" w:type="dxa"/>
            <w:right w:w="108" w:type="dxa"/>
          </w:tblCellMar>
        </w:tblPrEx>
        <w:tc>
          <w:tcPr>
            <w:tcW w:w="4422" w:type="dxa"/>
          </w:tcPr>
          <w:p w14:paraId="13F1E90D">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A</w:t>
            </w:r>
            <w:r>
              <w:rPr>
                <w:rFonts w:ascii="Calibri" w:hAnsi="Calibri" w:eastAsia="宋体" w:cs="Times New Roman"/>
              </w:rP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16530" cy="2753360"/>
                          </a:xfrm>
                          <a:prstGeom prst="rect">
                            <a:avLst/>
                          </a:prstGeom>
                          <a:noFill/>
                        </pic:spPr>
                      </pic:pic>
                    </a:graphicData>
                  </a:graphic>
                </wp:anchor>
              </w:drawing>
            </w:r>
          </w:p>
        </w:tc>
        <w:tc>
          <w:tcPr>
            <w:tcW w:w="4422" w:type="dxa"/>
          </w:tcPr>
          <w:p w14:paraId="16854E48">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B</w:t>
            </w:r>
            <w:r>
              <w:rPr>
                <w:rFonts w:ascii="Calibri" w:hAnsi="Calibri" w:eastAsia="宋体" w:cs="Times New Roman"/>
              </w:rP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0"/>
                  <wp:wrapTopAndBottom/>
                  <wp:docPr id="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451735" cy="2672715"/>
                          </a:xfrm>
                          <a:prstGeom prst="rect">
                            <a:avLst/>
                          </a:prstGeom>
                          <a:noFill/>
                        </pic:spPr>
                      </pic:pic>
                    </a:graphicData>
                  </a:graphic>
                </wp:anchor>
              </w:drawing>
            </w:r>
          </w:p>
        </w:tc>
      </w:tr>
      <w:tr w14:paraId="4AD94C3D">
        <w:tblPrEx>
          <w:tblCellMar>
            <w:top w:w="0" w:type="dxa"/>
            <w:left w:w="108" w:type="dxa"/>
            <w:bottom w:w="0" w:type="dxa"/>
            <w:right w:w="108" w:type="dxa"/>
          </w:tblCellMar>
        </w:tblPrEx>
        <w:tc>
          <w:tcPr>
            <w:tcW w:w="8844" w:type="dxa"/>
            <w:gridSpan w:val="2"/>
          </w:tcPr>
          <w:p w14:paraId="1C14B6A1">
            <w:pPr>
              <w:adjustRightInd w:val="0"/>
              <w:snapToGrid w:val="0"/>
              <w:jc w:val="center"/>
              <w:rPr>
                <w:rFonts w:ascii="Times New Roman" w:hAnsi="Times New Roman" w:eastAsia="宋体" w:cs="Times New Roman"/>
                <w:snapToGrid w:val="0"/>
                <w:color w:val="000000"/>
                <w:sz w:val="20"/>
                <w:szCs w:val="22"/>
                <w:lang w:bidi="en-US"/>
              </w:rPr>
            </w:pPr>
            <w:r>
              <w:rPr>
                <w:rFonts w:ascii="Calibri" w:hAnsi="Calibri" w:eastAsia="宋体" w:cs="Times New Roman"/>
                <w:color w:val="000000"/>
                <w:sz w:val="20"/>
              </w:rPr>
              <w:drawing>
                <wp:inline distT="0" distB="0" distL="0" distR="0">
                  <wp:extent cx="3232150" cy="1784350"/>
                  <wp:effectExtent l="0" t="0" r="6350" b="635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32150" cy="1784350"/>
                          </a:xfrm>
                          <a:prstGeom prst="rect">
                            <a:avLst/>
                          </a:prstGeom>
                          <a:noFill/>
                          <a:ln>
                            <a:noFill/>
                          </a:ln>
                        </pic:spPr>
                      </pic:pic>
                    </a:graphicData>
                  </a:graphic>
                </wp:inline>
              </w:drawing>
            </w:r>
          </w:p>
          <w:p w14:paraId="63A5BF3D">
            <w:pPr>
              <w:adjustRightInd w:val="0"/>
              <w:snapToGrid w:val="0"/>
              <w:jc w:val="center"/>
              <w:rPr>
                <w:rFonts w:ascii="Times New Roman" w:hAnsi="Times New Roman" w:eastAsia="宋体" w:cs="Times New Roman"/>
                <w:snapToGrid w:val="0"/>
                <w:color w:val="000000"/>
                <w:sz w:val="20"/>
                <w:szCs w:val="22"/>
                <w:lang w:bidi="en-US"/>
              </w:rPr>
            </w:pPr>
            <w:r>
              <w:rPr>
                <w:rFonts w:ascii="Times New Roman" w:hAnsi="Times New Roman" w:eastAsia="宋体" w:cs="Times New Roman"/>
                <w:b/>
                <w:bCs/>
                <w:snapToGrid w:val="0"/>
                <w:color w:val="000000"/>
                <w:sz w:val="20"/>
                <w:szCs w:val="22"/>
                <w:lang w:bidi="en-US"/>
              </w:rPr>
              <w:t>C</w:t>
            </w:r>
          </w:p>
        </w:tc>
      </w:tr>
    </w:tbl>
    <w:p w14:paraId="2D293C8A">
      <w:pPr>
        <w:adjustRightInd w:val="0"/>
        <w:snapToGrid w:val="0"/>
        <w:spacing w:line="360" w:lineRule="auto"/>
        <w:jc w:val="left"/>
        <w:rPr>
          <w:rFonts w:ascii="Times New Roman" w:hAnsi="Times New Roman" w:eastAsia="宋体"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a </w:t>
      </w:r>
      <w:r>
        <w:rPr>
          <w:rFonts w:ascii="Times New Roman" w:hAnsi="Times New Roman" w:eastAsia="宋体" w:cs="Times New Roman"/>
          <w:color w:val="000000"/>
          <w:kern w:val="0"/>
          <w:sz w:val="24"/>
          <w:lang w:val="en-GB"/>
        </w:rPr>
        <w:t xml:space="preserve">Reliability Block Diagram of Air </w:t>
      </w:r>
      <w:r>
        <w:rPr>
          <w:rFonts w:ascii="Times New Roman" w:hAnsi="Times New Roman" w:eastAsia="宋体" w:cs="Times New Roman"/>
          <w:color w:val="000000"/>
          <w:kern w:val="0"/>
          <w:sz w:val="24"/>
        </w:rPr>
        <w:t xml:space="preserve">XXX </w:t>
      </w:r>
      <w:r>
        <w:rPr>
          <w:rFonts w:ascii="Times New Roman" w:hAnsi="Times New Roman" w:eastAsia="宋体" w:cs="Times New Roman"/>
          <w:color w:val="000000"/>
          <w:kern w:val="0"/>
          <w:sz w:val="24"/>
          <w:lang w:val="en-GB"/>
        </w:rPr>
        <w:t>airplane crash</w:t>
      </w:r>
      <w:r>
        <w:rPr>
          <w:rFonts w:ascii="Times New Roman" w:hAnsi="Times New Roman" w:eastAsia="宋体" w:cs="Times New Roman"/>
          <w:color w:val="000000"/>
          <w:kern w:val="0"/>
          <w:sz w:val="24"/>
        </w:rPr>
        <w:t xml:space="preserve"> in Figure 1A-C</w:t>
      </w:r>
      <w:r>
        <w:rPr>
          <w:rFonts w:ascii="Times New Roman" w:hAnsi="Times New Roman" w:eastAsia="宋体" w:cs="Times New Roman"/>
          <w:sz w:val="24"/>
        </w:rPr>
        <w:t xml:space="preserve">. A: description of what the Figure 1A is; B: description of what the Figure 1B is; C: description of what the Figure 1C is. This figure is quoted with permission from XX </w:t>
      </w:r>
      <w:r>
        <w:rPr>
          <w:rFonts w:ascii="Times New Roman" w:hAnsi="Times New Roman" w:eastAsia="宋体" w:cs="Times New Roman"/>
          <w:i/>
          <w:sz w:val="24"/>
        </w:rPr>
        <w:t>et al</w:t>
      </w:r>
      <w:r>
        <w:rPr>
          <w:rFonts w:ascii="Times New Roman" w:hAnsi="Times New Roman" w:eastAsia="宋体" w:cs="Times New Roman"/>
          <w:sz w:val="24"/>
        </w:rPr>
        <w:t>.</w:t>
      </w:r>
      <w:r>
        <w:rPr>
          <w:rFonts w:ascii="Times New Roman" w:hAnsi="Times New Roman" w:eastAsia="宋体" w:cs="Times New Roman"/>
          <w:sz w:val="24"/>
          <w:vertAlign w:val="superscript"/>
        </w:rPr>
        <w:t>[2]</w:t>
      </w:r>
    </w:p>
    <w:p w14:paraId="5BBA78C1">
      <w:pPr>
        <w:adjustRightInd w:val="0"/>
        <w:snapToGrid w:val="0"/>
        <w:spacing w:line="360" w:lineRule="auto"/>
        <w:jc w:val="left"/>
        <w:rPr>
          <w:rFonts w:ascii="Times New Roman" w:hAnsi="Times New Roman" w:eastAsia="宋体" w:cs="Times New Roman"/>
          <w:sz w:val="24"/>
          <w:vertAlign w:val="superscript"/>
        </w:rPr>
      </w:pPr>
    </w:p>
    <w:p w14:paraId="6CD13B13">
      <w:pPr>
        <w:adjustRightInd w:val="0"/>
        <w:snapToGrid w:val="0"/>
        <w:spacing w:line="360" w:lineRule="auto"/>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 notes:</w:t>
      </w:r>
    </w:p>
    <w:p w14:paraId="06939926">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Figures should be cited in numeric order (e.g., Figure 1, Figure 2) and placed after the paragraph where it is first cited;</w:t>
      </w:r>
    </w:p>
    <w:p w14:paraId="0E03998D">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Figures can be submitted in format of tiff, psd, AI or jpeg, with resolution of 300-600 dpi;</w:t>
      </w:r>
    </w:p>
    <w:p w14:paraId="299386BF">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089E5F24">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Labels, numbers, letters, arrows, and symbols in figure should be clear, of uniform size, and contrast with the background;</w:t>
      </w:r>
    </w:p>
    <w:p w14:paraId="77A2694B">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Symbols, arrows, numbers, or letters used to identify parts of the illustrations must be identified and explained in the legend; </w:t>
      </w:r>
    </w:p>
    <w:p w14:paraId="7F2D93C6">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Internal scale (magnification) should be explained and the staining method in photomicrographs should be identified;</w:t>
      </w:r>
    </w:p>
    <w:p w14:paraId="74FC3926">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All non-standard abbreviations should be explained in the legend; </w:t>
      </w:r>
    </w:p>
    <w:p w14:paraId="53914115">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eastAsia="宋体" w:cs="Times New Roman"/>
          <w:color w:val="767171" w:themeColor="background2" w:themeShade="80"/>
          <w:sz w:val="20"/>
          <w:szCs w:val="20"/>
        </w:rPr>
        <w:t xml:space="preserve"> </w:t>
      </w:r>
    </w:p>
    <w:p w14:paraId="0484593C">
      <w:pPr>
        <w:numPr>
          <w:ilvl w:val="0"/>
          <w:numId w:val="3"/>
        </w:numPr>
        <w:adjustRightInd w:val="0"/>
        <w:snapToGrid w:val="0"/>
        <w:spacing w:line="360" w:lineRule="auto"/>
        <w:ind w:left="0" w:firstLine="0"/>
        <w:jc w:val="left"/>
        <w:rPr>
          <w:rFonts w:ascii="Times New Roman" w:hAnsi="Times New Roman" w:eastAsia="宋体" w:cs="Times New Roman"/>
          <w:b/>
          <w:bCs/>
          <w:i/>
          <w:i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2FECB9B">
      <w:pPr>
        <w:adjustRightInd w:val="0"/>
        <w:snapToGrid w:val="0"/>
        <w:spacing w:line="360" w:lineRule="auto"/>
        <w:jc w:val="left"/>
        <w:rPr>
          <w:rFonts w:ascii="Times New Roman" w:hAnsi="Times New Roman" w:eastAsia="Times New Roman" w:cs="Times New Roman"/>
          <w:b/>
          <w:bCs/>
          <w:iCs/>
          <w:color w:val="190F13"/>
          <w:sz w:val="24"/>
        </w:rPr>
      </w:pPr>
      <w:bookmarkStart w:id="6" w:name="_Hlk59623292"/>
      <w:bookmarkStart w:id="7" w:name="_Hlk59623241"/>
    </w:p>
    <w:p w14:paraId="60896EC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6"/>
    <w:p w14:paraId="58AA642E">
      <w:pPr>
        <w:widowControl/>
        <w:adjustRightInd w:val="0"/>
        <w:snapToGrid w:val="0"/>
        <w:spacing w:line="360" w:lineRule="auto"/>
        <w:jc w:val="left"/>
        <w:rPr>
          <w:rFonts w:ascii="Times New Roman" w:hAnsi="Times New Roman" w:eastAsia="宋体" w:cs="Times New Roman"/>
          <w:b/>
          <w:bCs/>
          <w:iCs/>
          <w:color w:val="000000"/>
          <w:kern w:val="0"/>
          <w:sz w:val="24"/>
        </w:rPr>
      </w:pPr>
      <w:bookmarkStart w:id="8" w:name="_Hlk59623311"/>
      <w:bookmarkStart w:id="9" w:name="OLE_LINK1"/>
      <w:r>
        <w:rPr>
          <w:rFonts w:ascii="Times New Roman" w:hAnsi="Times New Roman" w:eastAsia="宋体" w:cs="Times New Roman"/>
          <w:b/>
          <w:bCs/>
          <w:iCs/>
          <w:color w:val="000000"/>
          <w:kern w:val="0"/>
          <w:sz w:val="24"/>
        </w:rPr>
        <w:t>Acknowledgments</w:t>
      </w:r>
    </w:p>
    <w:p w14:paraId="6647224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Fonts w:ascii="Times New Roman" w:hAnsi="Times New Roman" w:eastAsia="宋体" w:cs="Times New Roman"/>
          <w:b/>
          <w:bCs/>
          <w:color w:val="0000FF"/>
          <w:sz w:val="24"/>
          <w:u w:val="single"/>
        </w:rPr>
        <w:t>the criteria</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96AB97A">
      <w:pPr>
        <w:widowControl/>
        <w:adjustRightInd w:val="0"/>
        <w:snapToGrid w:val="0"/>
        <w:spacing w:line="360" w:lineRule="auto"/>
        <w:jc w:val="left"/>
        <w:rPr>
          <w:rFonts w:ascii="Times New Roman" w:hAnsi="Times New Roman" w:eastAsia="宋体" w:cs="Times New Roman"/>
          <w:b/>
          <w:bCs/>
          <w:iCs/>
          <w:color w:val="000000"/>
          <w:kern w:val="0"/>
          <w:sz w:val="24"/>
        </w:rPr>
      </w:pPr>
    </w:p>
    <w:p w14:paraId="62DEC72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61BFBB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eastAsia="宋体" w:cs="Times New Roman"/>
          <w:iCs/>
          <w:sz w:val="24"/>
        </w:rPr>
        <w:t>The author contributed solely to the article.</w:t>
      </w:r>
    </w:p>
    <w:p w14:paraId="56AD6F6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B02BA1">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Made substantial contributions to conception and design of the study and performed data analysis and interpretation: Salas H, Castaneda WV;</w:t>
      </w:r>
    </w:p>
    <w:p w14:paraId="53A6A9EA">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Performed data acquisition, as well as providing administrative, technical, and material support: Castillo N, Young V</w:t>
      </w:r>
    </w:p>
    <w:p w14:paraId="72831915">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w:t>
      </w:r>
    </w:p>
    <w:p w14:paraId="0F05276F">
      <w:pPr>
        <w:widowControl/>
        <w:adjustRightInd w:val="0"/>
        <w:snapToGrid w:val="0"/>
        <w:spacing w:line="360" w:lineRule="auto"/>
        <w:jc w:val="left"/>
        <w:rPr>
          <w:rFonts w:ascii="Times New Roman" w:hAnsi="Times New Roman" w:eastAsia="宋体" w:cs="Times New Roman"/>
          <w:kern w:val="0"/>
          <w:sz w:val="24"/>
        </w:rPr>
      </w:pPr>
    </w:p>
    <w:p w14:paraId="6E4A3C8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547B19C4">
      <w:pPr>
        <w:widowControl/>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798B1D5">
      <w:pPr>
        <w:widowControl/>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a manuscript does not involve such issues, please state “Not applicable.” in this section.</w:t>
      </w:r>
    </w:p>
    <w:p w14:paraId="3FEEAB12">
      <w:pPr>
        <w:widowControl/>
        <w:adjustRightInd w:val="0"/>
        <w:snapToGrid w:val="0"/>
        <w:spacing w:line="360" w:lineRule="auto"/>
        <w:jc w:val="left"/>
        <w:rPr>
          <w:rFonts w:ascii="Times New Roman" w:hAnsi="Times New Roman" w:eastAsia="宋体" w:cs="Times New Roman"/>
          <w:sz w:val="24"/>
        </w:rPr>
      </w:pPr>
    </w:p>
    <w:p w14:paraId="6D1B66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E1B4BA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05481D2">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This work was supported by Grant name XX (No. XXXX; No. XXX)...</w:t>
      </w:r>
    </w:p>
    <w:p w14:paraId="6AD4C11F">
      <w:pPr>
        <w:widowControl/>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kern w:val="0"/>
          <w:sz w:val="24"/>
        </w:rPr>
        <w:t xml:space="preserve">If there is no grant: </w:t>
      </w:r>
      <w:r>
        <w:rPr>
          <w:rFonts w:ascii="Times New Roman" w:hAnsi="Times New Roman" w:eastAsia="宋体" w:cs="Times New Roman"/>
          <w:iCs/>
          <w:sz w:val="24"/>
        </w:rPr>
        <w:t>None.</w:t>
      </w:r>
    </w:p>
    <w:p w14:paraId="51C8FD71">
      <w:pPr>
        <w:widowControl/>
        <w:adjustRightInd w:val="0"/>
        <w:snapToGrid w:val="0"/>
        <w:spacing w:line="360" w:lineRule="auto"/>
        <w:jc w:val="left"/>
        <w:rPr>
          <w:rFonts w:ascii="Times New Roman" w:hAnsi="Times New Roman" w:eastAsia="宋体" w:cs="Times New Roman"/>
          <w:kern w:val="0"/>
          <w:sz w:val="24"/>
        </w:rPr>
      </w:pPr>
    </w:p>
    <w:p w14:paraId="4C2EF8C8">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C070222">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there are any potential conflicts of interest that may be perceived as inappropriately influencing the representation or interpretation of reported research results, please declare here. If not, please write as “</w:t>
      </w:r>
      <w:r>
        <w:rPr>
          <w:rFonts w:ascii="Times New Roman" w:hAnsi="Times New Roman" w:eastAsia="宋体" w:cs="Times New Roman"/>
          <w:iCs/>
          <w:sz w:val="24"/>
        </w:rPr>
        <w:t>All authors declared that there are no conflicts of interest</w:t>
      </w:r>
      <w:r>
        <w:rPr>
          <w:rFonts w:ascii="Times New Roman" w:hAnsi="Times New Roman" w:eastAsia="宋体" w:cs="Times New Roman"/>
          <w:sz w:val="24"/>
        </w:rPr>
        <w:t xml:space="preserve">”. Some authors may be bound by confidentiality agreements. </w:t>
      </w:r>
    </w:p>
    <w:p w14:paraId="113DBED7">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In such cases, in place of itemized disclosures, we will require authors to state “</w:t>
      </w:r>
      <w:r>
        <w:rPr>
          <w:rFonts w:ascii="Times New Roman" w:hAnsi="Times New Roman" w:eastAsia="宋体" w:cs="Times New Roman"/>
          <w:iCs/>
          <w:sz w:val="24"/>
        </w:rPr>
        <w:t>All authors declare that they are bound by confidentiality agreements that prevent them from disclosing their conflicts of interest in this work</w:t>
      </w:r>
      <w:bookmarkStart w:id="10" w:name="OLE_LINK10"/>
      <w:bookmarkStart w:id="11" w:name="OLE_LINK11"/>
      <w:r>
        <w:rPr>
          <w:rFonts w:ascii="Times New Roman" w:hAnsi="Times New Roman" w:eastAsia="宋体" w:cs="Times New Roman"/>
          <w:sz w:val="24"/>
        </w:rPr>
        <w:t>”</w:t>
      </w:r>
      <w:bookmarkEnd w:id="10"/>
      <w:bookmarkEnd w:id="11"/>
      <w:r>
        <w:rPr>
          <w:rFonts w:ascii="Times New Roman" w:hAnsi="Times New Roman" w:eastAsia="宋体" w:cs="Times New Roman"/>
          <w:sz w:val="24"/>
        </w:rPr>
        <w:t xml:space="preserve">. </w:t>
      </w:r>
    </w:p>
    <w:p w14:paraId="1FADD699">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If authors are unsure whether conflicts of interest exist, please refer to the </w:t>
      </w:r>
      <w:bookmarkStart w:id="12" w:name="OLE_LINK13"/>
      <w:bookmarkStart w:id="13" w:name="OLE_LINK12"/>
      <w:r>
        <w:rPr>
          <w:rFonts w:ascii="Times New Roman" w:hAnsi="Times New Roman" w:eastAsia="宋体" w:cs="Times New Roman"/>
          <w:sz w:val="24"/>
        </w:rPr>
        <w:t>“</w:t>
      </w:r>
      <w:bookmarkEnd w:id="12"/>
      <w:bookmarkEnd w:id="13"/>
      <w:r>
        <w:rPr>
          <w:rFonts w:ascii="Times New Roman" w:hAnsi="Times New Roman" w:eastAsia="宋体" w:cs="Times New Roman"/>
          <w:sz w:val="24"/>
        </w:rPr>
        <w:t xml:space="preserve">Conflicts of Interest” in the </w:t>
      </w:r>
      <w:r>
        <w:fldChar w:fldCharType="begin"/>
      </w:r>
      <w:r>
        <w:instrText xml:space="preserve"> HYPERLINK "https://segcjournal.com/pages/view/editorial_policies" </w:instrText>
      </w:r>
      <w:r>
        <w:fldChar w:fldCharType="separate"/>
      </w:r>
      <w:r>
        <w:rPr>
          <w:rFonts w:ascii="Times New Roman" w:hAnsi="Times New Roman" w:eastAsia="宋体" w:cs="Times New Roman"/>
          <w:b/>
          <w:bCs/>
          <w:color w:val="0000FF"/>
          <w:sz w:val="24"/>
          <w:u w:val="single"/>
        </w:rPr>
        <w:t>Editorial Policies</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of </w:t>
      </w:r>
      <w:r>
        <w:rPr>
          <w:rFonts w:ascii="Times New Roman" w:hAnsi="Times New Roman" w:eastAsia="宋体" w:cs="Times New Roman"/>
          <w:i/>
          <w:iCs/>
          <w:sz w:val="24"/>
        </w:rPr>
        <w:t>Journal of Smart Environments and Green Computing</w:t>
      </w:r>
      <w:r>
        <w:rPr>
          <w:rFonts w:ascii="Times New Roman" w:hAnsi="Times New Roman" w:eastAsia="宋体" w:cs="Times New Roman"/>
          <w:sz w:val="24"/>
        </w:rPr>
        <w:t xml:space="preserve"> for a full explanation.</w:t>
      </w:r>
    </w:p>
    <w:p w14:paraId="632BB4FA">
      <w:pPr>
        <w:adjustRightInd w:val="0"/>
        <w:snapToGrid w:val="0"/>
        <w:spacing w:line="360" w:lineRule="auto"/>
        <w:jc w:val="left"/>
        <w:rPr>
          <w:rFonts w:ascii="Times New Roman" w:hAnsi="Times New Roman" w:eastAsia="宋体" w:cs="Times New Roman"/>
          <w:sz w:val="24"/>
        </w:rPr>
      </w:pPr>
    </w:p>
    <w:p w14:paraId="5724BF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F44307">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Fonts w:ascii="Times New Roman" w:hAnsi="Times New Roman" w:eastAsia="宋体" w:cs="Times New Roman"/>
          <w:b/>
          <w:bCs/>
          <w:color w:val="0000FF"/>
          <w:sz w:val="24"/>
          <w:u w:val="single"/>
        </w:rPr>
        <w:t>Declaration of Helsinki</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 Studies involving animals and cell lines must include a statement on ethical approval. More information is available at </w:t>
      </w:r>
      <w:r>
        <w:fldChar w:fldCharType="begin"/>
      </w:r>
      <w:r>
        <w:instrText xml:space="preserve"> HYPERLINK "https://segcjournal.com/pages/view/editorial_policies" </w:instrText>
      </w:r>
      <w:r>
        <w:fldChar w:fldCharType="separate"/>
      </w:r>
      <w:r>
        <w:rPr>
          <w:rFonts w:ascii="Times New Roman" w:hAnsi="Times New Roman" w:eastAsia="宋体" w:cs="Times New Roman"/>
          <w:b/>
          <w:bCs/>
          <w:color w:val="0000FF"/>
          <w:sz w:val="24"/>
          <w:u w:val="single"/>
        </w:rPr>
        <w:t>Editorial Policies</w:t>
      </w:r>
      <w:r>
        <w:rPr>
          <w:rFonts w:ascii="Times New Roman" w:hAnsi="Times New Roman" w:eastAsia="宋体" w:cs="Times New Roman"/>
          <w:b/>
          <w:bCs/>
          <w:color w:val="0000FF"/>
          <w:sz w:val="24"/>
          <w:u w:val="single"/>
        </w:rPr>
        <w:fldChar w:fldCharType="end"/>
      </w:r>
      <w:r>
        <w:rPr>
          <w:rFonts w:ascii="Times New Roman" w:hAnsi="Times New Roman" w:eastAsia="宋体" w:cs="Times New Roman"/>
          <w:sz w:val="24"/>
        </w:rPr>
        <w:t xml:space="preserve">. </w:t>
      </w:r>
    </w:p>
    <w:p w14:paraId="5B6EAAA5">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If the manuscript does not involve such issues, please state </w:t>
      </w:r>
      <w:bookmarkStart w:id="14" w:name="OLE_LINK17"/>
      <w:bookmarkStart w:id="15" w:name="OLE_LINK16"/>
      <w:r>
        <w:rPr>
          <w:rFonts w:ascii="Times New Roman" w:hAnsi="Times New Roman" w:eastAsia="宋体" w:cs="Times New Roman"/>
          <w:sz w:val="24"/>
        </w:rPr>
        <w:t>“</w:t>
      </w:r>
      <w:bookmarkEnd w:id="14"/>
      <w:bookmarkEnd w:id="15"/>
      <w:r>
        <w:rPr>
          <w:rFonts w:ascii="Times New Roman" w:hAnsi="Times New Roman" w:eastAsia="宋体" w:cs="Times New Roman"/>
          <w:sz w:val="24"/>
        </w:rPr>
        <w:t>Not applicable.” in this section.</w:t>
      </w:r>
    </w:p>
    <w:p w14:paraId="00C2278C">
      <w:pPr>
        <w:adjustRightInd w:val="0"/>
        <w:snapToGrid w:val="0"/>
        <w:spacing w:line="360" w:lineRule="auto"/>
        <w:jc w:val="left"/>
        <w:rPr>
          <w:rFonts w:ascii="Times New Roman" w:hAnsi="Times New Roman" w:eastAsia="宋体" w:cs="Times New Roman"/>
          <w:sz w:val="24"/>
        </w:rPr>
      </w:pPr>
    </w:p>
    <w:p w14:paraId="177DB7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7F09E6FB">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2930C0EF">
      <w:pPr>
        <w:adjustRightInd w:val="0"/>
        <w:snapToGrid w:val="0"/>
        <w:spacing w:line="360" w:lineRule="auto"/>
        <w:jc w:val="left"/>
        <w:rPr>
          <w:rFonts w:ascii="Times New Roman" w:hAnsi="Times New Roman" w:eastAsia="宋体" w:cs="Times New Roman"/>
          <w:sz w:val="24"/>
        </w:rPr>
      </w:pPr>
      <w:r>
        <w:rPr>
          <w:rFonts w:ascii="Times New Roman" w:hAnsi="Times New Roman" w:eastAsia="宋体" w:cs="Times New Roman"/>
          <w:sz w:val="24"/>
        </w:rPr>
        <w:t>If the manuscript does not involve this issue, state “Not applicable.” in this section.</w:t>
      </w:r>
    </w:p>
    <w:p w14:paraId="7CF009E9">
      <w:pPr>
        <w:adjustRightInd w:val="0"/>
        <w:snapToGrid w:val="0"/>
        <w:spacing w:line="360" w:lineRule="auto"/>
        <w:jc w:val="left"/>
        <w:rPr>
          <w:rFonts w:ascii="Times New Roman" w:hAnsi="Times New Roman" w:eastAsia="宋体" w:cs="Times New Roman"/>
          <w:sz w:val="24"/>
        </w:rPr>
      </w:pPr>
    </w:p>
    <w:p w14:paraId="5C356C3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72AED4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2023.</w:t>
      </w:r>
    </w:p>
    <w:p w14:paraId="7B111F74">
      <w:pPr>
        <w:widowControl/>
        <w:adjustRightInd w:val="0"/>
        <w:snapToGrid w:val="0"/>
        <w:spacing w:line="360" w:lineRule="auto"/>
        <w:jc w:val="left"/>
        <w:rPr>
          <w:rFonts w:ascii="Times New Roman" w:hAnsi="Times New Roman" w:eastAsia="宋体" w:cs="Times New Roman"/>
          <w:color w:val="000000"/>
          <w:kern w:val="0"/>
          <w:sz w:val="24"/>
        </w:rPr>
      </w:pPr>
    </w:p>
    <w:bookmarkEnd w:id="7"/>
    <w:bookmarkEnd w:id="8"/>
    <w:p w14:paraId="5B59E80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9"/>
    <w:p w14:paraId="45BFF64A">
      <w:pPr>
        <w:adjustRightInd w:val="0"/>
        <w:snapToGrid w:val="0"/>
        <w:spacing w:line="360" w:lineRule="auto"/>
        <w:jc w:val="left"/>
        <w:rPr>
          <w:rFonts w:ascii="Times New Roman" w:hAnsi="Times New Roman" w:eastAsia="宋体" w:cs="Times New Roman"/>
          <w:sz w:val="24"/>
        </w:rPr>
      </w:pPr>
      <w:bookmarkStart w:id="16" w:name="_Hlk59626830"/>
      <w:r>
        <w:rPr>
          <w:rFonts w:ascii="Times New Roman" w:hAnsi="Times New Roman" w:eastAsia="宋体" w:cs="Times New Roman"/>
          <w:sz w:val="24"/>
        </w:rPr>
        <w:t xml:space="preserve">Authors should cite references </w:t>
      </w:r>
      <w:r>
        <w:rPr>
          <w:rFonts w:ascii="Times New Roman" w:hAnsi="Times New Roman" w:eastAsia="宋体" w:cs="Times New Roman"/>
          <w:b/>
          <w:sz w:val="24"/>
        </w:rPr>
        <w:t>in sequence</w:t>
      </w:r>
      <w:r>
        <w:rPr>
          <w:rFonts w:ascii="Times New Roman" w:hAnsi="Times New Roman" w:eastAsia="宋体" w:cs="Times New Roman"/>
          <w:sz w:val="24"/>
        </w:rPr>
        <w:t xml:space="preserve"> throughout the manuscript and indicate them in a superscript square bracket with one citation number</w:t>
      </w:r>
      <w:r>
        <w:rPr>
          <w:rFonts w:ascii="Times New Roman" w:hAnsi="Times New Roman" w:eastAsia="宋体" w:cs="Times New Roman"/>
          <w:sz w:val="24"/>
          <w:vertAlign w:val="superscript"/>
        </w:rPr>
        <w:t>[3]</w:t>
      </w:r>
      <w:r>
        <w:rPr>
          <w:rFonts w:ascii="Times New Roman" w:hAnsi="Times New Roman" w:eastAsia="宋体" w:cs="Times New Roman"/>
          <w:sz w:val="24"/>
        </w:rPr>
        <w:t>, two separate citation numbers</w:t>
      </w:r>
      <w:r>
        <w:rPr>
          <w:rFonts w:ascii="Times New Roman" w:hAnsi="Times New Roman" w:eastAsia="宋体" w:cs="Times New Roman"/>
          <w:sz w:val="24"/>
          <w:vertAlign w:val="superscript"/>
        </w:rPr>
        <w:t>[4,5]</w:t>
      </w:r>
      <w:r>
        <w:rPr>
          <w:rFonts w:ascii="Times New Roman" w:hAnsi="Times New Roman" w:eastAsia="宋体" w:cs="Times New Roman"/>
          <w:sz w:val="24"/>
        </w:rPr>
        <w:t xml:space="preserve"> or several consecutive citation numbers</w:t>
      </w:r>
      <w:r>
        <w:rPr>
          <w:rFonts w:ascii="Times New Roman" w:hAnsi="Times New Roman" w:eastAsia="宋体" w:cs="Times New Roman"/>
          <w:sz w:val="24"/>
          <w:vertAlign w:val="superscript"/>
        </w:rPr>
        <w:t>[6-9]</w:t>
      </w:r>
      <w:r>
        <w:rPr>
          <w:rFonts w:ascii="Times New Roman" w:hAnsi="Times New Roman" w:eastAsia="宋体" w:cs="Times New Roman"/>
          <w:sz w:val="24"/>
        </w:rPr>
        <w:t>.</w:t>
      </w:r>
    </w:p>
    <w:p w14:paraId="57EAA746">
      <w:pPr>
        <w:numPr>
          <w:ilvl w:val="0"/>
          <w:numId w:val="3"/>
        </w:numPr>
        <w:adjustRightInd w:val="0"/>
        <w:snapToGrid w:val="0"/>
        <w:spacing w:line="360" w:lineRule="auto"/>
        <w:ind w:left="0" w:firstLine="0"/>
        <w:jc w:val="left"/>
        <w:rPr>
          <w:rFonts w:ascii="Times New Roman" w:hAnsi="Times New Roman" w:eastAsia="宋体" w:cs="Times New Roman"/>
          <w:b/>
          <w:bCs/>
          <w:color w:val="808080"/>
          <w:sz w:val="24"/>
        </w:rPr>
      </w:pPr>
      <w:r>
        <w:rPr>
          <w:rFonts w:ascii="Times New Roman" w:hAnsi="Times New Roman" w:eastAsia="宋体"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eastAsia="宋体" w:cs="Times New Roman"/>
          <w:b/>
          <w:bCs/>
          <w:color w:val="808080"/>
          <w:sz w:val="24"/>
        </w:rPr>
        <w:t xml:space="preserve"> </w:t>
      </w:r>
    </w:p>
    <w:p w14:paraId="6473888F">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bookmarkStart w:id="17" w:name="OLE_LINK22"/>
      <w:r>
        <w:rPr>
          <w:rFonts w:ascii="Times New Roman" w:hAnsi="Times New Roman" w:eastAsia="宋体" w:cs="Times New Roman"/>
          <w:b/>
          <w:bCs/>
          <w:color w:val="767171" w:themeColor="background2" w:themeShade="80"/>
          <w:sz w:val="20"/>
          <w:szCs w:val="20"/>
        </w:rPr>
        <w:t>Each reference should have a corresponding DOI number/website link</w:t>
      </w:r>
      <w:bookmarkEnd w:id="17"/>
      <w:r>
        <w:rPr>
          <w:rFonts w:ascii="Times New Roman" w:hAnsi="Times New Roman" w:eastAsia="宋体" w:cs="Times New Roman"/>
          <w:b/>
          <w:bCs/>
          <w:color w:val="767171" w:themeColor="background2" w:themeShade="80"/>
          <w:sz w:val="20"/>
          <w:szCs w:val="20"/>
        </w:rPr>
        <w:t>;</w:t>
      </w:r>
    </w:p>
    <w:p w14:paraId="68CFA6F0">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List all authors when the number of authors is less than or equal to six, if there are more than six authors, only the first three authors’ names should be listed, other authors' names should be omitted and replaced with "et al."; </w:t>
      </w:r>
    </w:p>
    <w:p w14:paraId="139FBC2D">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journal’s name should be required to be italicized;</w:t>
      </w:r>
    </w:p>
    <w:p w14:paraId="7C805660">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bookmarkStart w:id="18" w:name="OLE_LINK6"/>
      <w:r>
        <w:rPr>
          <w:rFonts w:ascii="Times New Roman" w:hAnsi="Times New Roman" w:eastAsia="宋体"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eastAsia="宋体" w:cs="Times New Roman"/>
          <w:b/>
          <w:bCs/>
          <w:color w:val="767171" w:themeColor="background2" w:themeShade="80"/>
          <w:sz w:val="20"/>
          <w:szCs w:val="20"/>
        </w:rPr>
        <w:t>List of Title Word Abbreviations</w:t>
      </w:r>
      <w:r>
        <w:rPr>
          <w:rFonts w:ascii="Times New Roman" w:hAnsi="Times New Roman" w:eastAsia="宋体" w:cs="Times New Roman"/>
          <w:b/>
          <w:bCs/>
          <w:color w:val="767171" w:themeColor="background2" w:themeShade="80"/>
          <w:sz w:val="20"/>
          <w:szCs w:val="20"/>
        </w:rPr>
        <w:fldChar w:fldCharType="end"/>
      </w:r>
      <w:r>
        <w:rPr>
          <w:rFonts w:ascii="Times New Roman" w:hAnsi="Times New Roman" w:eastAsia="宋体" w:cs="Times New Roman"/>
          <w:b/>
          <w:bCs/>
          <w:color w:val="767171" w:themeColor="background2" w:themeShade="80"/>
          <w:sz w:val="20"/>
          <w:szCs w:val="20"/>
        </w:rPr>
        <w:t xml:space="preserve"> (</w:t>
      </w:r>
      <w:r>
        <w:rPr>
          <w:rFonts w:ascii="Times New Roman" w:hAnsi="Times New Roman" w:eastAsia="宋体" w:cs="Times New Roman"/>
          <w:color w:val="0000FF"/>
          <w:u w:val="single"/>
        </w:rPr>
        <w:t>https://www.issn.org/services/online-services/access-to-the-ltwa/</w:t>
      </w:r>
      <w:r>
        <w:rPr>
          <w:rFonts w:ascii="Times New Roman" w:hAnsi="Times New Roman" w:eastAsia="宋体" w:cs="Times New Roman"/>
          <w:b/>
          <w:bCs/>
          <w:color w:val="767171" w:themeColor="background2" w:themeShade="80"/>
          <w:sz w:val="20"/>
          <w:szCs w:val="20"/>
        </w:rPr>
        <w:t>)</w:t>
      </w:r>
      <w:r>
        <w:rPr>
          <w:rFonts w:ascii="Times New Roman" w:hAnsi="Times New Roman" w:eastAsia="宋体" w:cs="Times New Roman"/>
          <w:bCs/>
          <w:color w:val="767171" w:themeColor="background2" w:themeShade="80"/>
          <w:sz w:val="20"/>
          <w:szCs w:val="20"/>
        </w:rPr>
        <w:t>.</w:t>
      </w:r>
    </w:p>
    <w:bookmarkEnd w:id="18"/>
    <w:p w14:paraId="06C429CC">
      <w:pPr>
        <w:adjustRightInd w:val="0"/>
        <w:snapToGrid w:val="0"/>
        <w:spacing w:line="360" w:lineRule="auto"/>
        <w:jc w:val="left"/>
        <w:rPr>
          <w:rFonts w:ascii="Times New Roman" w:hAnsi="Times New Roman" w:eastAsia="宋体" w:cs="Times New Roman"/>
          <w:sz w:val="24"/>
        </w:rPr>
      </w:pPr>
    </w:p>
    <w:p w14:paraId="6F10EA36">
      <w:pPr>
        <w:widowControl/>
        <w:adjustRightInd w:val="0"/>
        <w:snapToGrid w:val="0"/>
        <w:spacing w:line="360" w:lineRule="auto"/>
        <w:jc w:val="left"/>
        <w:rPr>
          <w:rFonts w:ascii="Times New Roman" w:hAnsi="Times New Roman" w:eastAsia="宋体" w:cs="Times New Roman"/>
          <w:sz w:val="24"/>
        </w:rPr>
      </w:pPr>
      <w:bookmarkStart w:id="19" w:name="OLE_LINK19"/>
      <w:r>
        <w:rPr>
          <w:rFonts w:ascii="Times New Roman" w:hAnsi="Times New Roman" w:eastAsia="宋体" w:cs="Times New Roman"/>
          <w:sz w:val="24"/>
        </w:rPr>
        <w:t>Examples of references are shown below:</w:t>
      </w:r>
      <w:bookmarkEnd w:id="16"/>
      <w:bookmarkEnd w:id="19"/>
    </w:p>
    <w:p w14:paraId="3C978C5E">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by individual authors</w:t>
      </w:r>
    </w:p>
    <w:p w14:paraId="750F3BE2">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Weaver, D. L.; Ashikaga, T.; Krag, D. N. Effect of occult metastases on survival in node-negative breast cancer. </w:t>
      </w:r>
      <w:r>
        <w:rPr>
          <w:rFonts w:hint="default" w:ascii="Times New Roman" w:hAnsi="Times New Roman" w:cs="Times New Roman"/>
          <w:i/>
          <w:iCs/>
          <w:sz w:val="18"/>
          <w:szCs w:val="18"/>
          <w:lang w:val="en-US" w:eastAsia="zh-CN"/>
        </w:rPr>
        <w:t>N. Engl. J. Med.</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2011</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364</w:t>
      </w:r>
      <w:r>
        <w:rPr>
          <w:rFonts w:hint="default" w:ascii="Times New Roman" w:hAnsi="Times New Roman" w:cs="Times New Roman"/>
          <w:sz w:val="18"/>
          <w:szCs w:val="18"/>
          <w:lang w:val="en-US" w:eastAsia="zh-CN"/>
        </w:rPr>
        <w:t>, 412-421. DOI: 10.1056/NEJMoa1008108</w:t>
      </w:r>
    </w:p>
    <w:p w14:paraId="52F92BA4">
      <w:pPr>
        <w:rPr>
          <w:rFonts w:hint="default" w:ascii="Times New Roman" w:hAnsi="Times New Roman" w:cs="Times New Roman"/>
          <w:sz w:val="18"/>
          <w:szCs w:val="18"/>
          <w:lang w:val="en-US" w:eastAsia="zh-CN"/>
        </w:rPr>
      </w:pPr>
    </w:p>
    <w:p w14:paraId="2B048311">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Organization as author</w:t>
      </w:r>
    </w:p>
    <w:p w14:paraId="5A658E8C">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Diabetes Prevention Program Research Group. Hypertension, insulin, and proinsulin in participants with impaired glucose tolerance. </w:t>
      </w:r>
      <w:r>
        <w:rPr>
          <w:rFonts w:hint="default" w:ascii="Times New Roman" w:hAnsi="Times New Roman" w:cs="Times New Roman"/>
          <w:i/>
          <w:iCs/>
          <w:sz w:val="18"/>
          <w:szCs w:val="18"/>
          <w:lang w:val="en-US" w:eastAsia="zh-CN"/>
        </w:rPr>
        <w:t>Hypertension</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2002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40</w:t>
      </w:r>
      <w:r>
        <w:rPr>
          <w:rFonts w:hint="default" w:ascii="Times New Roman" w:hAnsi="Times New Roman" w:cs="Times New Roman"/>
          <w:sz w:val="18"/>
          <w:szCs w:val="18"/>
          <w:lang w:val="en-US" w:eastAsia="zh-CN"/>
        </w:rPr>
        <w:t>, 679-686. DOI: 10.1161/01.HYP.0000035706.28494.09</w:t>
      </w:r>
    </w:p>
    <w:p w14:paraId="7F6098D4">
      <w:pPr>
        <w:rPr>
          <w:rFonts w:hint="default" w:ascii="Times New Roman" w:hAnsi="Times New Roman" w:cs="Times New Roman"/>
          <w:sz w:val="18"/>
          <w:szCs w:val="18"/>
          <w:lang w:val="en-US" w:eastAsia="zh-CN"/>
        </w:rPr>
      </w:pPr>
    </w:p>
    <w:p w14:paraId="4DCE86CC">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Both personal authors and organization as author</w:t>
      </w:r>
    </w:p>
    <w:p w14:paraId="7FCD4E1D">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18"/>
          <w:szCs w:val="18"/>
          <w:lang w:val="en-US" w:eastAsia="zh-CN"/>
        </w:rPr>
        <w:t>. J. Urol. </w:t>
      </w:r>
      <w:r>
        <w:rPr>
          <w:rFonts w:hint="default" w:ascii="Times New Roman" w:hAnsi="Times New Roman" w:cs="Times New Roman"/>
          <w:b/>
          <w:bCs/>
          <w:sz w:val="18"/>
          <w:szCs w:val="18"/>
          <w:lang w:val="en-US" w:eastAsia="zh-CN"/>
        </w:rPr>
        <w:t>2003</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169</w:t>
      </w:r>
      <w:r>
        <w:rPr>
          <w:rFonts w:hint="default" w:ascii="Times New Roman" w:hAnsi="Times New Roman" w:cs="Times New Roman"/>
          <w:sz w:val="18"/>
          <w:szCs w:val="18"/>
          <w:lang w:val="en-US" w:eastAsia="zh-CN"/>
        </w:rPr>
        <w:t>, 2257-2261. DOI: 10.1097/01.ju.0000067940.76090.73</w:t>
      </w:r>
    </w:p>
    <w:p w14:paraId="00A58BC1">
      <w:pPr>
        <w:rPr>
          <w:rFonts w:hint="default" w:ascii="Times New Roman" w:hAnsi="Times New Roman" w:cs="Times New Roman"/>
          <w:sz w:val="18"/>
          <w:szCs w:val="18"/>
          <w:lang w:val="en-US" w:eastAsia="zh-CN"/>
        </w:rPr>
      </w:pPr>
    </w:p>
    <w:p w14:paraId="7FA50364">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not in English</w:t>
      </w:r>
    </w:p>
    <w:p w14:paraId="17AFFB66">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Zhang X.; Xiong H.; Ji T. Y.; Zhang Y. H.; Wang Y. Case report of anti-N-methyl-D-aspartate receptor encephalitis in child.</w:t>
      </w:r>
      <w:r>
        <w:rPr>
          <w:rFonts w:hint="default" w:ascii="Times New Roman" w:hAnsi="Times New Roman" w:cs="Times New Roman"/>
          <w:i/>
          <w:iCs/>
          <w:sz w:val="18"/>
          <w:szCs w:val="18"/>
          <w:lang w:val="en-US" w:eastAsia="zh-CN"/>
        </w:rPr>
        <w:t xml:space="preserve"> J. Appl. Clin. Pediatr.</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2012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27</w:t>
      </w:r>
      <w:r>
        <w:rPr>
          <w:rFonts w:hint="default" w:ascii="Times New Roman" w:hAnsi="Times New Roman" w:cs="Times New Roman"/>
          <w:sz w:val="18"/>
          <w:szCs w:val="18"/>
          <w:lang w:val="en-US" w:eastAsia="zh-CN"/>
        </w:rPr>
        <w:t>, 1903-1907. (in Chinese)</w:t>
      </w:r>
    </w:p>
    <w:p w14:paraId="775F8B71">
      <w:pPr>
        <w:rPr>
          <w:rFonts w:hint="default" w:ascii="Times New Roman" w:hAnsi="Times New Roman" w:cs="Times New Roman"/>
          <w:sz w:val="18"/>
          <w:szCs w:val="18"/>
          <w:lang w:val="en-US" w:eastAsia="zh-CN"/>
        </w:rPr>
      </w:pPr>
    </w:p>
    <w:p w14:paraId="6D538CDD">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ahead of print</w:t>
      </w:r>
    </w:p>
    <w:p w14:paraId="4182F25E">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Odibo, A. O. Falling stillbirth and neonatal mortality rates in twin gestation: not a reason for complacency. </w:t>
      </w:r>
      <w:r>
        <w:rPr>
          <w:rFonts w:hint="default" w:ascii="Times New Roman" w:hAnsi="Times New Roman" w:cs="Times New Roman"/>
          <w:i/>
          <w:iCs/>
          <w:sz w:val="18"/>
          <w:szCs w:val="18"/>
          <w:lang w:val="en-US" w:eastAsia="zh-CN"/>
        </w:rPr>
        <w:t>BJOG</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2018</w:t>
      </w:r>
      <w:r>
        <w:rPr>
          <w:rFonts w:hint="default" w:ascii="Times New Roman" w:hAnsi="Times New Roman" w:cs="Times New Roman"/>
          <w:sz w:val="18"/>
          <w:szCs w:val="18"/>
          <w:lang w:val="en-US" w:eastAsia="zh-CN"/>
        </w:rPr>
        <w:t>, Epub ahead of print [DOI: 10.1111/1471-0528.15541]</w:t>
      </w:r>
    </w:p>
    <w:p w14:paraId="720F7144">
      <w:pPr>
        <w:rPr>
          <w:rFonts w:hint="default" w:ascii="Times New Roman" w:hAnsi="Times New Roman" w:eastAsia="Roboto" w:cs="Times New Roman"/>
          <w:i w:val="0"/>
          <w:iCs w:val="0"/>
          <w:caps w:val="0"/>
          <w:color w:val="000000"/>
          <w:spacing w:val="0"/>
          <w:sz w:val="18"/>
          <w:szCs w:val="18"/>
          <w:shd w:val="clear" w:fill="FFFFFF"/>
        </w:rPr>
      </w:pPr>
    </w:p>
    <w:p w14:paraId="333328D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e</w:t>
      </w:r>
      <w:r>
        <w:rPr>
          <w:rFonts w:hint="default" w:ascii="Times New Roman" w:hAnsi="Times New Roman" w:eastAsia="Roboto" w:cs="Times New Roman"/>
          <w:b/>
          <w:bCs/>
          <w:i w:val="0"/>
          <w:iCs w:val="0"/>
          <w:caps w:val="0"/>
          <w:color w:val="000000"/>
          <w:spacing w:val="0"/>
          <w:sz w:val="18"/>
          <w:szCs w:val="18"/>
          <w:shd w:val="clear" w:fill="FFFFFF"/>
        </w:rPr>
        <w:t>book</w:t>
      </w:r>
    </w:p>
    <w:p w14:paraId="314A8A6A">
      <w:pPr>
        <w:jc w:val="left"/>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Oxford University Press, 2015. DOI: 10.1093/acprof:oso/9780198738671.001.0001</w:t>
      </w:r>
    </w:p>
    <w:p w14:paraId="07825388">
      <w:pPr>
        <w:rPr>
          <w:rFonts w:hint="default" w:ascii="Times New Roman" w:hAnsi="Times New Roman" w:eastAsia="Roboto" w:cs="Times New Roman"/>
          <w:i w:val="0"/>
          <w:iCs w:val="0"/>
          <w:caps w:val="0"/>
          <w:color w:val="000000"/>
          <w:spacing w:val="0"/>
          <w:sz w:val="18"/>
          <w:szCs w:val="18"/>
          <w:shd w:val="clear" w:fill="FFFFFF"/>
        </w:rPr>
      </w:pPr>
    </w:p>
    <w:p w14:paraId="47D72A4F">
      <w:pPr>
        <w:rPr>
          <w:rFonts w:hint="default" w:ascii="Times New Roman" w:hAnsi="Times New Roman" w:eastAsia="宋体" w:cs="Times New Roman"/>
          <w:b/>
          <w:bCs/>
          <w:i w:val="0"/>
          <w:iCs w:val="0"/>
          <w:caps w:val="0"/>
          <w:color w:val="000000"/>
          <w:spacing w:val="0"/>
          <w:sz w:val="18"/>
          <w:szCs w:val="18"/>
          <w:shd w:val="clear" w:fill="FFFFFF"/>
          <w:lang w:val="en-US" w:eastAsia="zh-CN"/>
        </w:rPr>
      </w:pPr>
      <w:r>
        <w:rPr>
          <w:rFonts w:hint="default" w:ascii="Times New Roman" w:hAnsi="Times New Roman" w:eastAsia="Roboto" w:cs="Times New Roman"/>
          <w:b/>
          <w:bCs/>
          <w:i w:val="0"/>
          <w:iCs w:val="0"/>
          <w:color w:val="000000"/>
          <w:spacing w:val="0"/>
          <w:sz w:val="18"/>
          <w:szCs w:val="18"/>
          <w:shd w:val="clear" w:fill="FFFFFF"/>
        </w:rPr>
        <w:t>B</w:t>
      </w:r>
      <w:r>
        <w:rPr>
          <w:rFonts w:hint="default" w:ascii="Times New Roman" w:hAnsi="Times New Roman" w:eastAsia="Roboto" w:cs="Times New Roman"/>
          <w:b/>
          <w:bCs/>
          <w:i w:val="0"/>
          <w:iCs w:val="0"/>
          <w:caps w:val="0"/>
          <w:color w:val="000000"/>
          <w:spacing w:val="0"/>
          <w:sz w:val="18"/>
          <w:szCs w:val="18"/>
          <w:shd w:val="clear" w:fill="FFFFFF"/>
        </w:rPr>
        <w:t>ook in print</w:t>
      </w:r>
      <w:r>
        <w:rPr>
          <w:rFonts w:hint="default" w:ascii="Times New Roman" w:hAnsi="Times New Roman" w:eastAsia="宋体" w:cs="Times New Roman"/>
          <w:b/>
          <w:bCs/>
          <w:i w:val="0"/>
          <w:iCs w:val="0"/>
          <w:caps w:val="0"/>
          <w:color w:val="000000"/>
          <w:spacing w:val="0"/>
          <w:sz w:val="18"/>
          <w:szCs w:val="18"/>
          <w:shd w:val="clear" w:fill="FFFFFF"/>
          <w:lang w:val="en-US" w:eastAsia="zh-CN"/>
        </w:rPr>
        <w:t xml:space="preserve"> </w:t>
      </w:r>
    </w:p>
    <w:p w14:paraId="0E30A2E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 xml:space="preserve">Frankel, F. </w:t>
      </w:r>
      <w:r>
        <w:rPr>
          <w:rFonts w:hint="default" w:ascii="Times New Roman" w:hAnsi="Times New Roman" w:eastAsia="Roboto" w:cs="Times New Roman"/>
          <w:i/>
          <w:iCs/>
          <w:caps w:val="0"/>
          <w:color w:val="000000"/>
          <w:spacing w:val="0"/>
          <w:sz w:val="18"/>
          <w:szCs w:val="18"/>
          <w:shd w:val="clear" w:fill="FFFFFF"/>
        </w:rPr>
        <w:t>Picturing Science and Engineering</w:t>
      </w:r>
      <w:r>
        <w:rPr>
          <w:rFonts w:hint="default" w:ascii="Times New Roman" w:hAnsi="Times New Roman" w:eastAsia="Roboto" w:cs="Times New Roman"/>
          <w:i w:val="0"/>
          <w:iCs w:val="0"/>
          <w:caps w:val="0"/>
          <w:color w:val="000000"/>
          <w:spacing w:val="0"/>
          <w:sz w:val="18"/>
          <w:szCs w:val="18"/>
          <w:shd w:val="clear" w:fill="FFFFFF"/>
        </w:rPr>
        <w:t>; MIT Press, 2018.</w:t>
      </w:r>
    </w:p>
    <w:p w14:paraId="67495F11">
      <w:pPr>
        <w:rPr>
          <w:rFonts w:hint="default" w:ascii="Times New Roman" w:hAnsi="Times New Roman" w:eastAsia="Roboto" w:cs="Times New Roman"/>
          <w:i w:val="0"/>
          <w:iCs w:val="0"/>
          <w:caps w:val="0"/>
          <w:color w:val="000000"/>
          <w:spacing w:val="0"/>
          <w:sz w:val="18"/>
          <w:szCs w:val="18"/>
          <w:shd w:val="clear" w:fill="FFFFFF"/>
        </w:rPr>
      </w:pPr>
    </w:p>
    <w:p w14:paraId="1F53F79C">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chapter</w:t>
      </w:r>
    </w:p>
    <w:p w14:paraId="27211FB6">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Cryst</w:t>
      </w:r>
      <w:r>
        <w:rPr>
          <w:rFonts w:hint="default" w:ascii="Times New Roman" w:hAnsi="Times New Roman" w:eastAsia="Roboto" w:cs="Times New Roman"/>
          <w:i w:val="0"/>
          <w:iCs w:val="0"/>
          <w:color w:val="000000"/>
          <w:spacing w:val="0"/>
          <w:sz w:val="18"/>
          <w:szCs w:val="18"/>
          <w:shd w:val="clear" w:fill="FFFFFF"/>
        </w:rPr>
        <w:t>al Sy</w:t>
      </w:r>
      <w:r>
        <w:rPr>
          <w:rFonts w:hint="default" w:ascii="Times New Roman" w:hAnsi="Times New Roman" w:eastAsia="Roboto" w:cs="Times New Roman"/>
          <w:i w:val="0"/>
          <w:iCs w:val="0"/>
          <w:caps w:val="0"/>
          <w:color w:val="000000"/>
          <w:spacing w:val="0"/>
          <w:sz w:val="18"/>
          <w:szCs w:val="18"/>
          <w:shd w:val="clear" w:fill="FFFFFF"/>
        </w:rPr>
        <w:t>mmetry. In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International Union of Crystallography Texts on Crystallography, Vol. 21; Oxford University Press, 2015; pp 99−134. DOI: 10.1093/acprof:oso/9780198738671.003.0004</w:t>
      </w:r>
    </w:p>
    <w:p w14:paraId="77FFC996">
      <w:pPr>
        <w:rPr>
          <w:rFonts w:hint="default" w:ascii="Times New Roman" w:hAnsi="Times New Roman" w:eastAsia="Roboto" w:cs="Times New Roman"/>
          <w:i w:val="0"/>
          <w:iCs w:val="0"/>
          <w:caps w:val="0"/>
          <w:color w:val="000000"/>
          <w:spacing w:val="0"/>
          <w:sz w:val="18"/>
          <w:szCs w:val="18"/>
          <w:shd w:val="clear" w:fill="FFFFFF"/>
        </w:rPr>
      </w:pPr>
    </w:p>
    <w:p w14:paraId="5E787E7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with editors</w:t>
      </w:r>
    </w:p>
    <w:p w14:paraId="30B4B22B">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18"/>
          <w:szCs w:val="18"/>
          <w:shd w:val="clear" w:fill="FFFFFF"/>
        </w:rPr>
        <w:t>, 2nd ed.; Woznack, K., Charlebois, A., Cole, R. S., Marzabadi, C. H., Webster, G., Eds.; Springer, 2018. DOI: 10.1007/978-3-319-78972-9</w:t>
      </w:r>
    </w:p>
    <w:p w14:paraId="49B7E639">
      <w:pPr>
        <w:rPr>
          <w:rFonts w:hint="default" w:ascii="Times New Roman" w:hAnsi="Times New Roman" w:eastAsia="Roboto" w:cs="Times New Roman"/>
          <w:i w:val="0"/>
          <w:iCs w:val="0"/>
          <w:caps w:val="0"/>
          <w:color w:val="000000"/>
          <w:spacing w:val="0"/>
          <w:sz w:val="18"/>
          <w:szCs w:val="18"/>
          <w:shd w:val="clear" w:fill="FFFFFF"/>
        </w:rPr>
      </w:pPr>
    </w:p>
    <w:p w14:paraId="54149F7E">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series</w:t>
      </w:r>
    </w:p>
    <w:p w14:paraId="5A4D95A4">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Gaede, H. C. Professional Development for REU Students. In </w:t>
      </w:r>
      <w:r>
        <w:rPr>
          <w:rFonts w:hint="default" w:ascii="Times New Roman" w:hAnsi="Times New Roman" w:eastAsia="Roboto" w:cs="Times New Roman"/>
          <w:i/>
          <w:iCs/>
          <w:caps w:val="0"/>
          <w:color w:val="000000"/>
          <w:spacing w:val="0"/>
          <w:sz w:val="18"/>
          <w:szCs w:val="18"/>
          <w:shd w:val="clear" w:fill="FFFFFF"/>
        </w:rPr>
        <w:t>Best Practices for Chemistry REU Programs</w:t>
      </w:r>
      <w:r>
        <w:rPr>
          <w:rFonts w:hint="default" w:ascii="Times New Roman" w:hAnsi="Times New Roman" w:eastAsia="Roboto" w:cs="Times New Roman"/>
          <w:i w:val="0"/>
          <w:iCs w:val="0"/>
          <w:caps w:val="0"/>
          <w:color w:val="000000"/>
          <w:spacing w:val="0"/>
          <w:sz w:val="18"/>
          <w:szCs w:val="18"/>
          <w:shd w:val="clear" w:fill="FFFFFF"/>
        </w:rPr>
        <w:t>; Griep, M. A, Watkins, L., Eds.; ACS Symposium Series, Vol. 1295; American Chemical Society, 2018; pp 33−44. DOI: 10.1021/bk-2018-1295.ch003</w:t>
      </w:r>
    </w:p>
    <w:p w14:paraId="6D2A8F25">
      <w:pPr>
        <w:rPr>
          <w:rFonts w:hint="default" w:ascii="Times New Roman" w:hAnsi="Times New Roman" w:eastAsia="Roboto" w:cs="Times New Roman"/>
          <w:i w:val="0"/>
          <w:iCs w:val="0"/>
          <w:caps w:val="0"/>
          <w:color w:val="000000"/>
          <w:spacing w:val="0"/>
          <w:sz w:val="18"/>
          <w:szCs w:val="18"/>
          <w:shd w:val="clear" w:fill="FFFFFF"/>
        </w:rPr>
      </w:pPr>
    </w:p>
    <w:p w14:paraId="4A8C9CF2">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w:t>
      </w:r>
    </w:p>
    <w:p w14:paraId="6CAA2E6E">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3143A51">
      <w:pPr>
        <w:rPr>
          <w:rFonts w:hint="default" w:ascii="Times New Roman" w:hAnsi="Times New Roman" w:eastAsia="Roboto" w:cs="Times New Roman"/>
          <w:i w:val="0"/>
          <w:iCs w:val="0"/>
          <w:caps w:val="0"/>
          <w:color w:val="000000"/>
          <w:spacing w:val="0"/>
          <w:sz w:val="18"/>
          <w:szCs w:val="18"/>
          <w:shd w:val="clear" w:fill="FFFFFF"/>
        </w:rPr>
      </w:pPr>
    </w:p>
    <w:p w14:paraId="7BDE6173">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 in print</w:t>
      </w:r>
    </w:p>
    <w:p w14:paraId="145CF03A">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Enander, R. T. Lea</w:t>
      </w:r>
      <w:r>
        <w:rPr>
          <w:rFonts w:hint="default" w:ascii="Times New Roman" w:hAnsi="Times New Roman" w:eastAsia="Roboto" w:cs="Times New Roman"/>
          <w:i w:val="0"/>
          <w:iCs w:val="0"/>
          <w:color w:val="000000"/>
          <w:spacing w:val="0"/>
          <w:sz w:val="18"/>
          <w:szCs w:val="18"/>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18"/>
          <w:szCs w:val="18"/>
          <w:shd w:val="clear" w:fill="FFFFFF"/>
        </w:rPr>
        <w:t>hing. Ph.D. Thesis, Tufts University, Medford, MA, 2001.</w:t>
      </w:r>
    </w:p>
    <w:p w14:paraId="783AAF39">
      <w:pPr>
        <w:rPr>
          <w:rFonts w:hint="default" w:ascii="Times New Roman" w:hAnsi="Times New Roman" w:eastAsia="Roboto" w:cs="Times New Roman"/>
          <w:i w:val="0"/>
          <w:iCs w:val="0"/>
          <w:caps w:val="0"/>
          <w:color w:val="000000"/>
          <w:spacing w:val="0"/>
          <w:sz w:val="18"/>
          <w:szCs w:val="18"/>
          <w:shd w:val="clear" w:fill="FFFFFF"/>
        </w:rPr>
      </w:pPr>
    </w:p>
    <w:p w14:paraId="6068976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W</w:t>
      </w:r>
      <w:r>
        <w:rPr>
          <w:rFonts w:hint="default" w:ascii="Times New Roman" w:hAnsi="Times New Roman" w:eastAsia="Roboto" w:cs="Times New Roman"/>
          <w:b/>
          <w:bCs/>
          <w:i w:val="0"/>
          <w:iCs w:val="0"/>
          <w:caps w:val="0"/>
          <w:color w:val="000000"/>
          <w:spacing w:val="0"/>
          <w:sz w:val="18"/>
          <w:szCs w:val="18"/>
          <w:shd w:val="clear" w:fill="FFFFFF"/>
        </w:rPr>
        <w:t>ebsite</w:t>
      </w:r>
    </w:p>
    <w:p w14:paraId="13091CD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color="auto" w:fill="FFFFFF"/>
        </w:rPr>
        <w:t>World Health Organization Home Page</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Roboto" w:cs="Times New Roman"/>
          <w:i w:val="0"/>
          <w:iCs w:val="0"/>
          <w:caps w:val="0"/>
          <w:color w:val="000000"/>
          <w:spacing w:val="0"/>
          <w:sz w:val="18"/>
          <w:szCs w:val="18"/>
          <w:shd w:val="clear" w:color="auto" w:fill="FFFFFF"/>
        </w:rPr>
        <w:t>https://www.who.int/</w:t>
      </w:r>
      <w:r>
        <w:rPr>
          <w:rFonts w:hint="default" w:ascii="Times New Roman" w:hAnsi="Times New Roman" w:eastAsia="Roboto" w:cs="Times New Roman"/>
          <w:i w:val="0"/>
          <w:iCs w:val="0"/>
          <w:caps w:val="0"/>
          <w:color w:val="000000"/>
          <w:spacing w:val="0"/>
          <w:sz w:val="18"/>
          <w:szCs w:val="18"/>
          <w:shd w:val="clear" w:fill="FFFFFF"/>
        </w:rPr>
        <w:t xml:space="preserve"> (accessed 2019-02-21).</w:t>
      </w:r>
    </w:p>
    <w:p w14:paraId="223D3090">
      <w:pPr>
        <w:rPr>
          <w:rFonts w:hint="default" w:ascii="Times New Roman" w:hAnsi="Times New Roman" w:eastAsia="Roboto" w:cs="Times New Roman"/>
          <w:i w:val="0"/>
          <w:iCs w:val="0"/>
          <w:caps w:val="0"/>
          <w:color w:val="000000"/>
          <w:spacing w:val="0"/>
          <w:sz w:val="18"/>
          <w:szCs w:val="18"/>
          <w:shd w:val="clear" w:fill="FFFFFF"/>
        </w:rPr>
      </w:pPr>
    </w:p>
    <w:p w14:paraId="5EFEE9D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N</w:t>
      </w:r>
      <w:r>
        <w:rPr>
          <w:rFonts w:hint="default" w:ascii="Times New Roman" w:hAnsi="Times New Roman" w:eastAsia="Roboto" w:cs="Times New Roman"/>
          <w:b/>
          <w:bCs/>
          <w:i w:val="0"/>
          <w:iCs w:val="0"/>
          <w:caps w:val="0"/>
          <w:color w:val="000000"/>
          <w:spacing w:val="0"/>
          <w:sz w:val="18"/>
          <w:szCs w:val="18"/>
          <w:shd w:val="clear" w:fill="FFFFFF"/>
        </w:rPr>
        <w:t>ewspaper</w:t>
      </w:r>
    </w:p>
    <w:p w14:paraId="128836DB">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Beauge, J. Scho</w:t>
      </w:r>
      <w:r>
        <w:rPr>
          <w:rFonts w:hint="default" w:ascii="Times New Roman" w:hAnsi="Times New Roman" w:eastAsia="Roboto" w:cs="Times New Roman"/>
          <w:i w:val="0"/>
          <w:iCs w:val="0"/>
          <w:color w:val="000000"/>
          <w:spacing w:val="0"/>
          <w:sz w:val="18"/>
          <w:szCs w:val="18"/>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18"/>
          <w:szCs w:val="18"/>
          <w:shd w:val="clear" w:fill="FFFFFF"/>
        </w:rPr>
        <w:t>ation. </w:t>
      </w:r>
      <w:r>
        <w:rPr>
          <w:rFonts w:hint="default" w:ascii="Times New Roman" w:hAnsi="Times New Roman" w:eastAsia="Roboto" w:cs="Times New Roman"/>
          <w:i/>
          <w:iCs/>
          <w:caps w:val="0"/>
          <w:color w:val="000000"/>
          <w:spacing w:val="0"/>
          <w:sz w:val="18"/>
          <w:szCs w:val="18"/>
          <w:shd w:val="clear" w:fill="FFFFFF"/>
        </w:rPr>
        <w:t>PennLive (Harrisburg, PA)</w:t>
      </w:r>
      <w:r>
        <w:rPr>
          <w:rFonts w:hint="default" w:ascii="Times New Roman" w:hAnsi="Times New Roman" w:eastAsia="Roboto" w:cs="Times New Roman"/>
          <w:i w:val="0"/>
          <w:iCs w:val="0"/>
          <w:caps w:val="0"/>
          <w:color w:val="000000"/>
          <w:spacing w:val="0"/>
          <w:sz w:val="18"/>
          <w:szCs w:val="18"/>
          <w:shd w:val="clear" w:fill="FFFFFF"/>
        </w:rPr>
        <w:t>, November 17, 2018, updated November 17, 2018. https://www.pennlive.com/news/2018/11/school_district_sued_over_burn.html (accessed 2019-02-22).</w:t>
      </w:r>
    </w:p>
    <w:p w14:paraId="56539ED5">
      <w:pPr>
        <w:rPr>
          <w:rFonts w:hint="default" w:ascii="Times New Roman" w:hAnsi="Times New Roman" w:eastAsia="Roboto" w:cs="Times New Roman"/>
          <w:i w:val="0"/>
          <w:iCs w:val="0"/>
          <w:caps w:val="0"/>
          <w:color w:val="000000"/>
          <w:spacing w:val="0"/>
          <w:sz w:val="18"/>
          <w:szCs w:val="18"/>
          <w:shd w:val="clear" w:fill="FFFFFF"/>
        </w:rPr>
      </w:pPr>
    </w:p>
    <w:p w14:paraId="0BD65D3B">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abstract</w:t>
      </w:r>
    </w:p>
    <w:p w14:paraId="5D7535B8">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Okita, J.; Iwamoto, T.; Kira, M. Nov</w:t>
      </w:r>
      <w:r>
        <w:rPr>
          <w:rFonts w:hint="default" w:ascii="Times New Roman" w:hAnsi="Times New Roman" w:eastAsia="Roboto" w:cs="Times New Roman"/>
          <w:i w:val="0"/>
          <w:iCs w:val="0"/>
          <w:color w:val="000000"/>
          <w:spacing w:val="0"/>
          <w:sz w:val="18"/>
          <w:szCs w:val="18"/>
          <w:shd w:val="clear" w:fill="FFFFFF"/>
        </w:rPr>
        <w:t>el synthetic route for hydrosilyllithi</w:t>
      </w:r>
      <w:r>
        <w:rPr>
          <w:rFonts w:hint="default" w:ascii="Times New Roman" w:hAnsi="Times New Roman" w:eastAsia="Roboto" w:cs="Times New Roman"/>
          <w:i w:val="0"/>
          <w:iCs w:val="0"/>
          <w:caps w:val="0"/>
          <w:color w:val="000000"/>
          <w:spacing w:val="0"/>
          <w:sz w:val="18"/>
          <w:szCs w:val="18"/>
          <w:shd w:val="clear" w:fill="FFFFFF"/>
        </w:rPr>
        <w:t>ums. In </w:t>
      </w:r>
      <w:r>
        <w:rPr>
          <w:rFonts w:hint="default" w:ascii="Times New Roman" w:hAnsi="Times New Roman" w:eastAsia="Roboto" w:cs="Times New Roman"/>
          <w:i/>
          <w:iCs/>
          <w:caps w:val="0"/>
          <w:color w:val="000000"/>
          <w:spacing w:val="0"/>
          <w:sz w:val="18"/>
          <w:szCs w:val="18"/>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18"/>
          <w:szCs w:val="18"/>
          <w:shd w:val="clear" w:fill="FFFFFF"/>
        </w:rPr>
        <w:t>, Honolulu, HI; Paper INOR 216.</w:t>
      </w:r>
    </w:p>
    <w:p w14:paraId="50248DB1">
      <w:pPr>
        <w:rPr>
          <w:rFonts w:hint="default" w:ascii="Times New Roman" w:hAnsi="Times New Roman" w:eastAsia="Roboto" w:cs="Times New Roman"/>
          <w:i w:val="0"/>
          <w:iCs w:val="0"/>
          <w:caps w:val="0"/>
          <w:color w:val="000000"/>
          <w:spacing w:val="0"/>
          <w:sz w:val="18"/>
          <w:szCs w:val="18"/>
          <w:shd w:val="clear" w:fill="FFFFFF"/>
        </w:rPr>
      </w:pPr>
    </w:p>
    <w:p w14:paraId="2AF8B766">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proceedings</w:t>
      </w:r>
    </w:p>
    <w:p w14:paraId="5FA5ABCD">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Nilsson, A.; Petersson, F.; Persson, H. W.; Jönsson, H.; Laurell, T. Ma</w:t>
      </w:r>
      <w:r>
        <w:rPr>
          <w:rFonts w:hint="default" w:ascii="Times New Roman" w:hAnsi="Times New Roman" w:eastAsia="Roboto" w:cs="Times New Roman"/>
          <w:i w:val="0"/>
          <w:iCs w:val="0"/>
          <w:color w:val="000000"/>
          <w:spacing w:val="0"/>
          <w:sz w:val="18"/>
          <w:szCs w:val="18"/>
          <w:shd w:val="clear" w:fill="FFFFFF"/>
        </w:rPr>
        <w:t>nipulation of suspended particles in a laminar f</w:t>
      </w:r>
      <w:r>
        <w:rPr>
          <w:rFonts w:hint="default" w:ascii="Times New Roman" w:hAnsi="Times New Roman" w:eastAsia="Roboto" w:cs="Times New Roman"/>
          <w:i w:val="0"/>
          <w:iCs w:val="0"/>
          <w:caps w:val="0"/>
          <w:color w:val="000000"/>
          <w:spacing w:val="0"/>
          <w:sz w:val="18"/>
          <w:szCs w:val="18"/>
          <w:shd w:val="clear" w:fill="FFFFFF"/>
        </w:rPr>
        <w:t>low. In </w:t>
      </w:r>
      <w:r>
        <w:rPr>
          <w:rFonts w:hint="default" w:ascii="Times New Roman" w:hAnsi="Times New Roman" w:eastAsia="Roboto" w:cs="Times New Roman"/>
          <w:i/>
          <w:iCs/>
          <w:caps w:val="0"/>
          <w:color w:val="000000"/>
          <w:spacing w:val="0"/>
          <w:sz w:val="18"/>
          <w:szCs w:val="18"/>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18"/>
          <w:szCs w:val="18"/>
          <w:shd w:val="clear" w:fill="FFFFFF"/>
        </w:rPr>
        <w:t>, Nara, Japan, November 3−7, 2002; Baba, Y., Shoji, S., van den Berg, A., Eds.; Kluwer Academic Publishers: Dordrecht, The Netherlands, 2002; Vol. 2, pp 751−753. DOI: 10.1007/978-94-010-0504-3_50</w:t>
      </w:r>
    </w:p>
    <w:p w14:paraId="08EC780B">
      <w:pPr>
        <w:rPr>
          <w:rFonts w:hint="default" w:ascii="Times New Roman" w:hAnsi="Times New Roman" w:eastAsia="Roboto" w:cs="Times New Roman"/>
          <w:i w:val="0"/>
          <w:iCs w:val="0"/>
          <w:caps w:val="0"/>
          <w:color w:val="000000"/>
          <w:spacing w:val="0"/>
          <w:sz w:val="18"/>
          <w:szCs w:val="18"/>
          <w:shd w:val="clear" w:fill="FFFFFF"/>
        </w:rPr>
      </w:pPr>
    </w:p>
    <w:p w14:paraId="327BF52E">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D</w:t>
      </w:r>
      <w:r>
        <w:rPr>
          <w:rFonts w:hint="default" w:ascii="Times New Roman" w:hAnsi="Times New Roman" w:eastAsia="Roboto" w:cs="Times New Roman"/>
          <w:b/>
          <w:bCs/>
          <w:i w:val="0"/>
          <w:iCs w:val="0"/>
          <w:caps w:val="0"/>
          <w:color w:val="000000"/>
          <w:spacing w:val="0"/>
          <w:sz w:val="18"/>
          <w:szCs w:val="18"/>
          <w:shd w:val="clear" w:fill="FFFFFF"/>
        </w:rPr>
        <w:t>atabase</w:t>
      </w:r>
    </w:p>
    <w:p w14:paraId="5BD7FD0E">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SpectraBase</w:t>
      </w:r>
      <w:r>
        <w:rPr>
          <w:rFonts w:hint="default" w:ascii="Times New Roman" w:hAnsi="Times New Roman" w:eastAsia="Roboto" w:cs="Times New Roman"/>
          <w:i w:val="0"/>
          <w:iCs w:val="0"/>
          <w:caps w:val="0"/>
          <w:color w:val="000000"/>
          <w:spacing w:val="0"/>
          <w:sz w:val="18"/>
          <w:szCs w:val="18"/>
          <w:shd w:val="clear" w:fill="FFFFFF"/>
        </w:rPr>
        <w:t>. Bio-Rad Laboratories. https://spectrabase.com/ (accessed 2020-01-05).</w:t>
      </w:r>
    </w:p>
    <w:p w14:paraId="2879422F">
      <w:pPr>
        <w:rPr>
          <w:rFonts w:hint="default" w:ascii="Times New Roman" w:hAnsi="Times New Roman" w:eastAsia="Roboto" w:cs="Times New Roman"/>
          <w:i w:val="0"/>
          <w:iCs w:val="0"/>
          <w:caps w:val="0"/>
          <w:color w:val="000000"/>
          <w:spacing w:val="0"/>
          <w:sz w:val="18"/>
          <w:szCs w:val="18"/>
          <w:shd w:val="clear" w:fill="FFFFFF"/>
        </w:rPr>
      </w:pPr>
    </w:p>
    <w:p w14:paraId="46971A8F">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P</w:t>
      </w:r>
      <w:r>
        <w:rPr>
          <w:rFonts w:hint="default" w:ascii="Times New Roman" w:hAnsi="Times New Roman" w:eastAsia="Roboto" w:cs="Times New Roman"/>
          <w:b/>
          <w:bCs/>
          <w:i w:val="0"/>
          <w:iCs w:val="0"/>
          <w:caps w:val="0"/>
          <w:color w:val="000000"/>
          <w:spacing w:val="0"/>
          <w:sz w:val="18"/>
          <w:szCs w:val="18"/>
          <w:shd w:val="clear" w:fill="FFFFFF"/>
        </w:rPr>
        <w:t>atent</w:t>
      </w:r>
    </w:p>
    <w:p w14:paraId="5ACF22F5">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Stern, M. K.; Cheng, B. K. M. Pro</w:t>
      </w:r>
      <w:r>
        <w:rPr>
          <w:rFonts w:hint="default" w:ascii="Times New Roman" w:hAnsi="Times New Roman" w:eastAsia="Roboto" w:cs="Times New Roman"/>
          <w:i w:val="0"/>
          <w:iCs w:val="0"/>
          <w:color w:val="000000"/>
          <w:spacing w:val="0"/>
          <w:sz w:val="18"/>
          <w:szCs w:val="18"/>
          <w:shd w:val="clear" w:fill="FFFFFF"/>
        </w:rPr>
        <w:t>cess for prepari</w:t>
      </w:r>
      <w:r>
        <w:rPr>
          <w:rFonts w:hint="default" w:ascii="Times New Roman" w:hAnsi="Times New Roman" w:eastAsia="Roboto" w:cs="Times New Roman"/>
          <w:i w:val="0"/>
          <w:iCs w:val="0"/>
          <w:caps w:val="0"/>
          <w:color w:val="000000"/>
          <w:spacing w:val="0"/>
          <w:sz w:val="18"/>
          <w:szCs w:val="18"/>
          <w:shd w:val="clear" w:fill="FFFFFF"/>
        </w:rPr>
        <w:t>ng N-(p-nitroaryl)amides vi</w:t>
      </w:r>
      <w:r>
        <w:rPr>
          <w:rFonts w:hint="default" w:ascii="Times New Roman" w:hAnsi="Times New Roman" w:eastAsia="Roboto" w:cs="Times New Roman"/>
          <w:i w:val="0"/>
          <w:iCs w:val="0"/>
          <w:color w:val="000000"/>
          <w:spacing w:val="0"/>
          <w:sz w:val="18"/>
          <w:szCs w:val="18"/>
          <w:shd w:val="clear" w:fill="FFFFFF"/>
        </w:rPr>
        <w:t>a reaction of nitrobenzene with ni</w:t>
      </w:r>
      <w:r>
        <w:rPr>
          <w:rFonts w:hint="default" w:ascii="Times New Roman" w:hAnsi="Times New Roman" w:eastAsia="Roboto" w:cs="Times New Roman"/>
          <w:i w:val="0"/>
          <w:iCs w:val="0"/>
          <w:caps w:val="0"/>
          <w:color w:val="000000"/>
          <w:spacing w:val="0"/>
          <w:sz w:val="18"/>
          <w:szCs w:val="18"/>
          <w:shd w:val="clear" w:fill="FFFFFF"/>
        </w:rPr>
        <w:t>triles. US 5380946, 1995.</w:t>
      </w:r>
    </w:p>
    <w:p w14:paraId="71BAD69D">
      <w:pPr>
        <w:rPr>
          <w:rFonts w:hint="default" w:ascii="Times New Roman" w:hAnsi="Times New Roman" w:eastAsia="Roboto" w:cs="Times New Roman"/>
          <w:i w:val="0"/>
          <w:iCs w:val="0"/>
          <w:caps w:val="0"/>
          <w:color w:val="000000"/>
          <w:spacing w:val="0"/>
          <w:sz w:val="18"/>
          <w:szCs w:val="18"/>
          <w:shd w:val="clear" w:fill="FFFFFF"/>
        </w:rPr>
      </w:pPr>
    </w:p>
    <w:p w14:paraId="7ABFC79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Preprint</w:t>
      </w:r>
    </w:p>
    <w:p w14:paraId="390A6A66">
      <w:pPr>
        <w:rPr>
          <w:rFonts w:hint="default" w:ascii="Times New Roman" w:hAnsi="Times New Roman" w:eastAsia="Helvetica" w:cs="Times New Roman"/>
          <w:i w:val="0"/>
          <w:iCs w:val="0"/>
          <w:caps w:val="0"/>
          <w:color w:val="222222"/>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Yamamoto</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T. S.;</w:t>
      </w:r>
      <w:r>
        <w:rPr>
          <w:rFonts w:hint="default" w:ascii="Times New Roman" w:hAnsi="Times New Roman" w:eastAsia="Roboto" w:cs="Times New Roman"/>
          <w:i w:val="0"/>
          <w:iCs w:val="0"/>
          <w:caps w:val="0"/>
          <w:color w:val="000000"/>
          <w:spacing w:val="0"/>
          <w:sz w:val="18"/>
          <w:szCs w:val="18"/>
          <w:shd w:val="clear" w:fill="FFFFFF"/>
        </w:rPr>
        <w:t xml:space="preserve"> Inui</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R.;</w:t>
      </w:r>
      <w:r>
        <w:rPr>
          <w:rFonts w:hint="default" w:ascii="Times New Roman" w:hAnsi="Times New Roman" w:eastAsia="Roboto" w:cs="Times New Roman"/>
          <w:i w:val="0"/>
          <w:iCs w:val="0"/>
          <w:caps w:val="0"/>
          <w:color w:val="000000"/>
          <w:spacing w:val="0"/>
          <w:sz w:val="18"/>
          <w:szCs w:val="18"/>
          <w:shd w:val="clear" w:fill="FFFFFF"/>
        </w:rPr>
        <w:t xml:space="preserve"> Tada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Y.;</w:t>
      </w:r>
      <w:r>
        <w:rPr>
          <w:rFonts w:hint="default" w:ascii="Times New Roman" w:hAnsi="Times New Roman" w:eastAsia="Roboto" w:cs="Times New Roman"/>
          <w:i w:val="0"/>
          <w:iCs w:val="0"/>
          <w:caps w:val="0"/>
          <w:color w:val="000000"/>
          <w:spacing w:val="0"/>
          <w:sz w:val="18"/>
          <w:szCs w:val="18"/>
          <w:shd w:val="clear" w:fill="FFFFFF"/>
        </w:rPr>
        <w:t xml:space="preserve"> Yokoyama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S</w:t>
      </w:r>
      <w:r>
        <w:rPr>
          <w:rFonts w:hint="default" w:ascii="Times New Roman" w:hAnsi="Times New Roman" w:eastAsia="Roboto" w:cs="Times New Roman"/>
          <w:i w:val="0"/>
          <w:iCs w:val="0"/>
          <w:caps w:val="0"/>
          <w:color w:val="000000"/>
          <w:spacing w:val="0"/>
          <w:sz w:val="18"/>
          <w:szCs w:val="18"/>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18"/>
          <w:szCs w:val="18"/>
          <w:shd w:val="clear" w:fill="FFFFFF"/>
        </w:rPr>
        <w:t>arXiv</w:t>
      </w:r>
      <w:r>
        <w:rPr>
          <w:rFonts w:hint="default" w:ascii="Times New Roman" w:hAnsi="Times New Roman" w:eastAsia="Roboto" w:cs="Times New Roman"/>
          <w:i w:val="0"/>
          <w:iCs w:val="0"/>
          <w:caps w:val="0"/>
          <w:color w:val="000000"/>
          <w:spacing w:val="0"/>
          <w:sz w:val="18"/>
          <w:szCs w:val="18"/>
          <w:shd w:val="clear" w:fill="FFFFFF"/>
        </w:rPr>
        <w:t> </w:t>
      </w:r>
      <w:r>
        <w:rPr>
          <w:rFonts w:hint="default" w:ascii="Times New Roman" w:hAnsi="Times New Roman" w:eastAsia="Roboto" w:cs="Times New Roman"/>
          <w:b/>
          <w:bCs/>
          <w:i w:val="0"/>
          <w:iCs w:val="0"/>
          <w:caps w:val="0"/>
          <w:color w:val="000000"/>
          <w:spacing w:val="0"/>
          <w:sz w:val="18"/>
          <w:szCs w:val="18"/>
          <w:shd w:val="clear" w:fill="FFFFFF"/>
        </w:rPr>
        <w:t>2004</w:t>
      </w:r>
      <w:r>
        <w:rPr>
          <w:rFonts w:hint="default" w:ascii="Times New Roman" w:hAnsi="Times New Roman" w:eastAsia="Roboto" w:cs="Times New Roman"/>
          <w:i w:val="0"/>
          <w:iCs w:val="0"/>
          <w:caps w:val="0"/>
          <w:color w:val="000000"/>
          <w:spacing w:val="0"/>
          <w:sz w:val="18"/>
          <w:szCs w:val="18"/>
          <w:shd w:val="clear" w:fill="FFFFFF"/>
        </w:rPr>
        <w:t xml:space="preserve">, arXiv:2401.00044. Available online: https://arxiv.org/abs/2401.00044 (accessed </w:t>
      </w:r>
      <w:r>
        <w:rPr>
          <w:rFonts w:hint="default" w:ascii="Times New Roman" w:hAnsi="Times New Roman" w:eastAsia="宋体" w:cs="Times New Roman"/>
          <w:i w:val="0"/>
          <w:iCs w:val="0"/>
          <w:caps w:val="0"/>
          <w:color w:val="000000"/>
          <w:spacing w:val="0"/>
          <w:sz w:val="18"/>
          <w:szCs w:val="18"/>
          <w:shd w:val="clear" w:fill="FFFFFF"/>
          <w:lang w:val="en-US" w:eastAsia="zh-CN"/>
        </w:rPr>
        <w:t>29</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宋体" w:cs="Times New Roman"/>
          <w:i w:val="0"/>
          <w:iCs w:val="0"/>
          <w:caps w:val="0"/>
          <w:color w:val="000000"/>
          <w:spacing w:val="0"/>
          <w:sz w:val="18"/>
          <w:szCs w:val="18"/>
          <w:shd w:val="clear" w:fill="FFFFFF"/>
          <w:lang w:val="en-US" w:eastAsia="zh-CN"/>
        </w:rPr>
        <w:t>December</w:t>
      </w:r>
      <w:r>
        <w:rPr>
          <w:rFonts w:hint="default" w:ascii="Times New Roman" w:hAnsi="Times New Roman" w:eastAsia="Roboto" w:cs="Times New Roman"/>
          <w:i w:val="0"/>
          <w:iCs w:val="0"/>
          <w:caps w:val="0"/>
          <w:color w:val="000000"/>
          <w:spacing w:val="0"/>
          <w:sz w:val="18"/>
          <w:szCs w:val="18"/>
          <w:shd w:val="clear" w:fill="FFFFFF"/>
        </w:rPr>
        <w:t xml:space="preserve"> 20</w:t>
      </w:r>
      <w:r>
        <w:rPr>
          <w:rFonts w:hint="default" w:ascii="Times New Roman" w:hAnsi="Times New Roman" w:eastAsia="宋体" w:cs="Times New Roman"/>
          <w:i w:val="0"/>
          <w:iCs w:val="0"/>
          <w:caps w:val="0"/>
          <w:color w:val="000000"/>
          <w:spacing w:val="0"/>
          <w:sz w:val="18"/>
          <w:szCs w:val="18"/>
          <w:shd w:val="clear" w:fill="FFFFFF"/>
          <w:lang w:val="en-US" w:eastAsia="zh-CN"/>
        </w:rPr>
        <w:t>23</w:t>
      </w:r>
      <w:r>
        <w:rPr>
          <w:rFonts w:hint="default" w:ascii="Times New Roman" w:hAnsi="Times New Roman" w:eastAsia="Roboto" w:cs="Times New Roman"/>
          <w:i w:val="0"/>
          <w:iCs w:val="0"/>
          <w:caps w:val="0"/>
          <w:color w:val="000000"/>
          <w:spacing w:val="0"/>
          <w:sz w:val="18"/>
          <w:szCs w:val="18"/>
          <w:shd w:val="clear" w:fill="FFFFFF"/>
        </w:rPr>
        <w:t>).</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w:t>
      </w:r>
    </w:p>
    <w:p w14:paraId="6B779E9B">
      <w:pPr>
        <w:rPr>
          <w:rFonts w:hint="default" w:ascii="Times New Roman" w:hAnsi="Times New Roman" w:eastAsia="Helvetica" w:cs="Times New Roman"/>
          <w:i w:val="0"/>
          <w:iCs w:val="0"/>
          <w:caps w:val="0"/>
          <w:color w:val="222222"/>
          <w:spacing w:val="0"/>
          <w:sz w:val="18"/>
          <w:szCs w:val="18"/>
          <w:shd w:val="clear" w:fill="FFFFFF"/>
        </w:rPr>
      </w:pPr>
    </w:p>
    <w:p w14:paraId="14E194BC">
      <w:pPr>
        <w:rPr>
          <w:rFonts w:hint="default" w:ascii="Times New Roman" w:hAnsi="Times New Roman" w:eastAsia="Roboto" w:cs="Times New Roman"/>
          <w:i w:val="0"/>
          <w:iCs w:val="0"/>
          <w:caps w:val="0"/>
          <w:color w:val="000000"/>
          <w:spacing w:val="0"/>
          <w:sz w:val="18"/>
          <w:szCs w:val="18"/>
          <w:shd w:val="clear" w:fill="FFFFFF"/>
          <w:lang w:val="en-US" w:eastAsia="zh-CN"/>
        </w:rPr>
      </w:pPr>
    </w:p>
    <w:p w14:paraId="52268F64">
      <w:pPr>
        <w:widowControl/>
        <w:adjustRightInd w:val="0"/>
        <w:snapToGrid w:val="0"/>
        <w:spacing w:line="360" w:lineRule="auto"/>
        <w:jc w:val="left"/>
        <w:rPr>
          <w:rFonts w:ascii="Times New Roman" w:hAnsi="Times New Roman" w:eastAsia="宋体" w:cs="Times New Roman"/>
          <w:sz w:val="18"/>
          <w:szCs w:val="18"/>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S Gothic">
    <w:panose1 w:val="020B0609070205080204"/>
    <w:charset w:val="80"/>
    <w:family w:val="modern"/>
    <w:pitch w:val="default"/>
    <w:sig w:usb0="E00002FF" w:usb1="6AC7FDFB" w:usb2="08000012" w:usb3="00000000" w:csb0="4002009F" w:csb1="DFD70000"/>
  </w:font>
  <w:font w:name="Roboto">
    <w:altName w:val="Segoe Print"/>
    <w:panose1 w:val="00000000000000000000"/>
    <w:charset w:val="00"/>
    <w:family w:val="auto"/>
    <w:pitch w:val="default"/>
    <w:sig w:usb0="00000000" w:usb1="00000000" w:usb2="00000020" w:usb3="00000000" w:csb0="2000019F" w:csb1="4F010000"/>
  </w:font>
  <w:font w:name="Helvetica">
    <w:altName w:val="Arial"/>
    <w:panose1 w:val="020B060402020203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52F3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2F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22</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F0BBE7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3F4CD0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rPr>
        <w:rFonts w:hint="eastAsia"/>
        <w:b/>
        <w:bCs/>
        <w:sz w:val="16"/>
        <w:szCs w:val="16"/>
        <w:lang w:val="en-US" w:eastAsia="zh-CN"/>
      </w:rPr>
      <w:t xml:space="preserve">                 </w:t>
    </w:r>
    <w:bookmarkStart w:id="21" w:name="OLE_LINK7"/>
    <w:r>
      <w:rPr>
        <w:rStyle w:val="14"/>
        <w:rFonts w:hint="eastAsia" w:ascii="Arial" w:hAnsi="Arial"/>
        <w:b/>
        <w:bCs/>
        <w:sz w:val="16"/>
        <w:szCs w:val="16"/>
      </w:rPr>
      <w:t>www.oaepublish.com/jsss</w:t>
    </w:r>
    <w:bookmarkEnd w:id="21"/>
  </w:p>
  <w:p w14:paraId="2158AEF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3C64">
    <w:pPr>
      <w:pStyle w:val="6"/>
      <w:adjustRightInd w:val="0"/>
      <w:rPr>
        <w:rFonts w:ascii="Times New Roman" w:hAnsi="Times New Roman"/>
        <w:sz w:val="14"/>
        <w:szCs w:val="14"/>
      </w:rPr>
    </w:pPr>
    <w:r>
      <w:rPr>
        <w:rFonts w:ascii="Times New Roman" w:hAnsi="Times New Roman"/>
        <w:sz w:val="14"/>
        <w:szCs w:val="14"/>
      </w:rPr>
      <w:t xml:space="preserve">Page </w:t>
    </w:r>
    <w:r>
      <w:rPr>
        <w:rFonts w:hint="eastAsia" w:ascii="Times New Roman" w:hAnsi="Times New Roman"/>
        <w:sz w:val="14"/>
        <w:szCs w:val="14"/>
      </w:rPr>
      <w:t>X</w:t>
    </w:r>
    <w:r>
      <w:rPr>
        <w:rFonts w:ascii="Times New Roman" w:hAnsi="Times New Roman"/>
        <w:sz w:val="14"/>
        <w:szCs w:val="14"/>
      </w:rPr>
      <w:t xml:space="preserve"> of </w:t>
    </w:r>
    <w:r>
      <w:rPr>
        <w:rFonts w:hint="eastAsia" w:ascii="Times New Roman" w:hAnsi="Times New Roman"/>
        <w:sz w:val="14"/>
        <w:szCs w:val="14"/>
      </w:rPr>
      <w:t xml:space="preserve">6         </w:t>
    </w:r>
    <w:r>
      <w:rPr>
        <w:rFonts w:hint="eastAsia" w:ascii="Times New Roman" w:hAnsi="Times New Roman"/>
        <w:sz w:val="14"/>
        <w:szCs w:val="14"/>
      </w:rPr>
      <w:tab/>
    </w:r>
    <w:r>
      <w:rPr>
        <w:rFonts w:hint="eastAsia" w:ascii="Times New Roman" w:hAnsi="Times New Roman"/>
        <w:sz w:val="14"/>
        <w:szCs w:val="14"/>
      </w:rPr>
      <w:t xml:space="preserve">           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 </w:t>
    </w:r>
    <w:r>
      <w:rPr>
        <w:rFonts w:ascii="Times New Roman" w:hAnsi="Times New Roman"/>
        <w:sz w:val="14"/>
        <w:szCs w:val="14"/>
      </w:rPr>
      <w:t>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p>
  <w:p w14:paraId="4252ABD2">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017E">
    <w:pPr>
      <w:pStyle w:val="6"/>
      <w:adjustRightInd w:val="0"/>
    </w:pPr>
    <w:r>
      <w:rPr>
        <w:rFonts w:hint="eastAsia" w:ascii="Times New Roman" w:hAnsi="Times New Roman"/>
        <w:sz w:val="14"/>
        <w:szCs w:val="14"/>
      </w:rPr>
      <w:t>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w:t>
    </w:r>
    <w:r>
      <w:rPr>
        <w:rFonts w:ascii="Times New Roman" w:hAnsi="Times New Roman"/>
        <w:sz w:val="14"/>
        <w:szCs w:val="14"/>
      </w:rPr>
      <w:t xml:space="preserve"> 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r>
      <w:rPr>
        <w:rFonts w:hint="eastAsia" w:ascii="Times New Roman" w:hAnsi="Times New Roman"/>
        <w:sz w:val="14"/>
        <w:szCs w:val="14"/>
      </w:rPr>
      <w:t xml:space="preserve">         </w:t>
    </w:r>
    <w:r>
      <w:rPr>
        <w:rFonts w:hint="eastAsia" w:ascii="Times New Roman" w:hAnsi="Times New Roman"/>
        <w:sz w:val="14"/>
        <w:szCs w:val="14"/>
      </w:rPr>
      <w:tab/>
    </w:r>
    <w:r>
      <w:rPr>
        <w:rFonts w:hint="eastAsia" w:ascii="Times New Roman" w:hAnsi="Times New Roman"/>
        <w:sz w:val="14"/>
        <w:szCs w:val="14"/>
      </w:rPr>
      <w:t xml:space="preserve">           </w:t>
    </w:r>
    <w:r>
      <w:rPr>
        <w:rFonts w:ascii="Times New Roman" w:hAnsi="Times New Roman"/>
        <w:sz w:val="14"/>
        <w:szCs w:val="14"/>
      </w:rPr>
      <w:t>Page</w:t>
    </w:r>
    <w:r>
      <w:rPr>
        <w:rFonts w:hint="eastAsia" w:ascii="Times New Roman" w:hAnsi="Times New Roman"/>
        <w:sz w:val="14"/>
        <w:szCs w:val="14"/>
      </w:rPr>
      <w:t xml:space="preserve"> X</w:t>
    </w:r>
    <w:r>
      <w:rPr>
        <w:rFonts w:ascii="Times New Roman" w:hAnsi="Times New Roman"/>
        <w:sz w:val="14"/>
        <w:szCs w:val="14"/>
      </w:rPr>
      <w:t xml:space="preserve"> of </w:t>
    </w:r>
    <w:r>
      <w:rPr>
        <w:rFonts w:hint="eastAsia" w:ascii="Times New Roman" w:hAnsi="Times New Roman"/>
        <w:sz w:val="14"/>
        <w:szCs w:val="14"/>
      </w:rPr>
      <w:t>6</w:t>
    </w:r>
  </w:p>
  <w:p w14:paraId="7ED630C4">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2C4A">
    <w:pPr>
      <w:pStyle w:val="6"/>
    </w:pPr>
    <w:bookmarkStart w:id="20" w:name="OLE_LINK5"/>
    <w:r>
      <w:rPr>
        <w:rFonts w:ascii="Times New Roman" w:hAnsi="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2983230</wp:posOffset>
              </wp:positionH>
              <wp:positionV relativeFrom="paragraph">
                <wp:posOffset>-125095</wp:posOffset>
              </wp:positionV>
              <wp:extent cx="242633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521E3D74">
                          <w:pPr>
                            <w:jc w:val="right"/>
                          </w:pPr>
                          <w:r>
                            <w:rPr>
                              <w:rFonts w:ascii="Arial" w:hAnsi="Arial"/>
                              <w:b/>
                              <w:color w:val="003F9A"/>
                              <w:sz w:val="26"/>
                              <w:szCs w:val="26"/>
                            </w:rPr>
                            <w:t>Journal of Surveillance, Security and Safety</w:t>
                          </w:r>
                        </w:p>
                      </w:txbxContent>
                    </wps:txbx>
                    <wps:bodyPr vert="horz" wrap="square" anchor="t" upright="1"/>
                  </wps:wsp>
                </a:graphicData>
              </a:graphic>
            </wp:anchor>
          </w:drawing>
        </mc:Choice>
        <mc:Fallback>
          <w:pict>
            <v:shape id="文本框 4" o:spid="_x0000_s1026" o:spt="202" type="#_x0000_t202" style="position:absolute;left:0pt;margin-left:234.9pt;margin-top:-9.85pt;height:37.95pt;width:191.05pt;z-index:251662336;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XRvDLYAAAACgEAAA8AAAAAAAAAAQAg&#10;AAAAIgAAAGRycy9kb3ducmV2LnhtbFBLAQIUABQAAAAIAIdO4kCWHjF81QEAAIoDAAAOAAAAAAAA&#10;AAEAIAAAACcBAABkcnMvZTJvRG9jLnhtbFBLBQYAAAAABgAGAFkBAABuBQAAAAA=&#10;">
              <v:fill on="f" focussize="0,0"/>
              <v:stroke on="f"/>
              <v:imagedata o:title=""/>
              <o:lock v:ext="edit" aspectratio="f"/>
              <v:textbox>
                <w:txbxContent>
                  <w:p w14:paraId="521E3D74">
                    <w:pPr>
                      <w:jc w:val="right"/>
                    </w:pPr>
                    <w:r>
                      <w:rPr>
                        <w:rFonts w:ascii="Arial" w:hAnsi="Arial"/>
                        <w:b/>
                        <w:color w:val="003F9A"/>
                        <w:sz w:val="26"/>
                        <w:szCs w:val="26"/>
                      </w:rPr>
                      <w:t>Journal of Surveillance, Security and Safety</w:t>
                    </w:r>
                  </w:p>
                </w:txbxContent>
              </v:textbox>
            </v:shape>
          </w:pict>
        </mc:Fallback>
      </mc:AlternateContent>
    </w:r>
    <w:r>
      <w:rPr>
        <w:rFonts w:hint="eastAsia" w:ascii="Times New Roman" w:hAnsi="Times New Roman"/>
        <w:sz w:val="16"/>
        <w:szCs w:val="16"/>
      </w:rPr>
      <w:t>Surname</w:t>
    </w:r>
    <w:r>
      <w:rPr>
        <w:rFonts w:ascii="Times New Roman" w:hAnsi="Times New Roman"/>
        <w:sz w:val="16"/>
        <w:szCs w:val="16"/>
      </w:rPr>
      <w:t xml:space="preserve"> </w:t>
    </w:r>
    <w:r>
      <w:rPr>
        <w:rFonts w:hint="eastAsia" w:ascii="Times New Roman" w:hAnsi="Times New Roman"/>
        <w:i/>
        <w:iCs/>
        <w:sz w:val="16"/>
        <w:szCs w:val="16"/>
      </w:rPr>
      <w:t>et al</w:t>
    </w:r>
    <w:r>
      <w:rPr>
        <w:rFonts w:ascii="Times New Roman" w:hAnsi="Times New Roman"/>
        <w:i/>
        <w:iCs/>
        <w:sz w:val="16"/>
        <w:szCs w:val="16"/>
      </w:rPr>
      <w:t>.</w:t>
    </w:r>
    <w:r>
      <w:rPr>
        <w:rFonts w:ascii="Times New Roman" w:hAnsi="Times New Roman"/>
        <w:sz w:val="16"/>
        <w:szCs w:val="16"/>
      </w:rPr>
      <w:t xml:space="preserve"> </w:t>
    </w:r>
    <w:r>
      <w:rPr>
        <w:rFonts w:ascii="Times New Roman" w:hAnsi="Times New Roman"/>
        <w:i/>
        <w:iCs/>
        <w:sz w:val="16"/>
        <w:szCs w:val="16"/>
      </w:rPr>
      <w:t>J</w:t>
    </w:r>
    <w:r>
      <w:rPr>
        <w:rFonts w:hint="eastAsia" w:ascii="Times New Roman" w:hAnsi="Times New Roman"/>
        <w:i/>
        <w:iCs/>
        <w:sz w:val="16"/>
        <w:szCs w:val="16"/>
      </w:rPr>
      <w:t>S</w:t>
    </w:r>
    <w:r>
      <w:rPr>
        <w:rFonts w:ascii="Times New Roman" w:hAnsi="Times New Roman"/>
        <w:i/>
        <w:iCs/>
        <w:sz w:val="16"/>
        <w:szCs w:val="16"/>
      </w:rPr>
      <w:t>SS</w:t>
    </w:r>
    <w:r>
      <w:rPr>
        <w:rFonts w:hint="eastAsia" w:ascii="Times New Roman" w:hAnsi="Times New Roman"/>
        <w:i/>
        <w:iCs/>
        <w:sz w:val="16"/>
        <w:szCs w:val="16"/>
      </w:rPr>
      <w:t xml:space="preserve"> </w:t>
    </w:r>
    <w:r>
      <w:rPr>
        <w:rFonts w:ascii="Times New Roman" w:hAnsi="Times New Roman"/>
        <w:sz w:val="16"/>
        <w:szCs w:val="16"/>
      </w:rPr>
      <w:t>Year;Volume:</w:t>
    </w:r>
    <w:r>
      <w:rPr>
        <w:rFonts w:hint="eastAsia" w:ascii="Times New Roman" w:hAnsi="Times New Roman"/>
        <w:sz w:val="16"/>
        <w:szCs w:val="16"/>
      </w:rPr>
      <w:t>Number</w:t>
    </w:r>
    <w:r>
      <w:rPr>
        <w:rFonts w:ascii="Times New Roman" w:hAnsi="Times New Roman"/>
        <w:sz w:val="16"/>
        <w:szCs w:val="16"/>
      </w:rPr>
      <w:br w:type="textWrapping"/>
    </w:r>
    <w:r>
      <w:rPr>
        <w:rFonts w:ascii="Times New Roman" w:hAnsi="Times New Roman"/>
        <w:b/>
        <w:bCs/>
        <w:sz w:val="16"/>
        <w:szCs w:val="16"/>
      </w:rPr>
      <w:t>DOI</w:t>
    </w:r>
    <w:r>
      <w:rPr>
        <w:rFonts w:ascii="Times New Roman" w:hAnsi="Times New Roman"/>
        <w:sz w:val="16"/>
        <w:szCs w:val="16"/>
      </w:rPr>
      <w:t>: 10.</w:t>
    </w:r>
    <w:r>
      <w:rPr>
        <w:rFonts w:hint="eastAsia" w:ascii="Times New Roman" w:hAnsi="Times New Roman"/>
        <w:sz w:val="16"/>
        <w:szCs w:val="16"/>
      </w:rPr>
      <w:t>xxxx</w:t>
    </w:r>
    <w:r>
      <w:rPr>
        <w:rFonts w:ascii="Times New Roman" w:hAnsi="Times New Roman"/>
        <w:sz w:val="16"/>
        <w:szCs w:val="16"/>
      </w:rPr>
      <w:t>/</w:t>
    </w:r>
    <w:r>
      <w:rPr>
        <w:rFonts w:hint="eastAsia" w:ascii="Times New Roman" w:hAnsi="Times New Roman"/>
        <w:sz w:val="16"/>
        <w:szCs w:val="16"/>
      </w:rPr>
      <w:t>jsss</w:t>
    </w:r>
    <w:r>
      <w:rPr>
        <w:rFonts w:ascii="Times New Roman" w:hAnsi="Times New Roman"/>
        <w:sz w:val="16"/>
        <w:szCs w:val="16"/>
      </w:rPr>
      <w:t>.xxxx.xx</w:t>
    </w:r>
    <w:bookmarkEnd w:id="20"/>
  </w:p>
  <w:p w14:paraId="2B941FF3">
    <w:pPr>
      <w:pStyle w:val="6"/>
    </w:pPr>
  </w:p>
  <w:p w14:paraId="40AA69E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lZjcyZWIxYjNjZGUwZGUxYzgwNzA3NmNkNmZlNTcifQ=="/>
  </w:docVars>
  <w:rsids>
    <w:rsidRoot w:val="00172A27"/>
    <w:rsid w:val="000123E1"/>
    <w:rsid w:val="000178BA"/>
    <w:rsid w:val="00030B75"/>
    <w:rsid w:val="0003284A"/>
    <w:rsid w:val="000970F4"/>
    <w:rsid w:val="000D33EB"/>
    <w:rsid w:val="000D4CA6"/>
    <w:rsid w:val="000D5EBD"/>
    <w:rsid w:val="000E0F91"/>
    <w:rsid w:val="0011319C"/>
    <w:rsid w:val="00126C63"/>
    <w:rsid w:val="00152438"/>
    <w:rsid w:val="00172A27"/>
    <w:rsid w:val="00192ABF"/>
    <w:rsid w:val="0019510B"/>
    <w:rsid w:val="001C47C5"/>
    <w:rsid w:val="0027022E"/>
    <w:rsid w:val="002722D2"/>
    <w:rsid w:val="00273491"/>
    <w:rsid w:val="00276C8E"/>
    <w:rsid w:val="002E52AE"/>
    <w:rsid w:val="00331E76"/>
    <w:rsid w:val="003570D5"/>
    <w:rsid w:val="003608FF"/>
    <w:rsid w:val="003B627D"/>
    <w:rsid w:val="00415D65"/>
    <w:rsid w:val="00423880"/>
    <w:rsid w:val="00435602"/>
    <w:rsid w:val="00436667"/>
    <w:rsid w:val="00497675"/>
    <w:rsid w:val="004A46D3"/>
    <w:rsid w:val="004F52CE"/>
    <w:rsid w:val="00555B7D"/>
    <w:rsid w:val="005570D9"/>
    <w:rsid w:val="005D2569"/>
    <w:rsid w:val="00614CF9"/>
    <w:rsid w:val="00631D61"/>
    <w:rsid w:val="00637595"/>
    <w:rsid w:val="00695AC2"/>
    <w:rsid w:val="006A512D"/>
    <w:rsid w:val="006A7A6A"/>
    <w:rsid w:val="00714616"/>
    <w:rsid w:val="007D1FD5"/>
    <w:rsid w:val="007F0188"/>
    <w:rsid w:val="008075EB"/>
    <w:rsid w:val="00842C21"/>
    <w:rsid w:val="00856A0D"/>
    <w:rsid w:val="008A495C"/>
    <w:rsid w:val="008D773A"/>
    <w:rsid w:val="008F55F0"/>
    <w:rsid w:val="00921419"/>
    <w:rsid w:val="00927A01"/>
    <w:rsid w:val="009C0907"/>
    <w:rsid w:val="009F010D"/>
    <w:rsid w:val="00A37A37"/>
    <w:rsid w:val="00A569F4"/>
    <w:rsid w:val="00A75079"/>
    <w:rsid w:val="00B23ECB"/>
    <w:rsid w:val="00B26CFE"/>
    <w:rsid w:val="00B33F24"/>
    <w:rsid w:val="00B42AC5"/>
    <w:rsid w:val="00B74EF5"/>
    <w:rsid w:val="00BB3538"/>
    <w:rsid w:val="00C5076C"/>
    <w:rsid w:val="00C6365E"/>
    <w:rsid w:val="00C8045F"/>
    <w:rsid w:val="00CA2500"/>
    <w:rsid w:val="00D106B2"/>
    <w:rsid w:val="00D16246"/>
    <w:rsid w:val="00D24ABB"/>
    <w:rsid w:val="00D65F6F"/>
    <w:rsid w:val="00D67F34"/>
    <w:rsid w:val="00DF5C43"/>
    <w:rsid w:val="00E258F5"/>
    <w:rsid w:val="00E31605"/>
    <w:rsid w:val="00E953A2"/>
    <w:rsid w:val="00EA21CF"/>
    <w:rsid w:val="00EC387F"/>
    <w:rsid w:val="00EE548B"/>
    <w:rsid w:val="00F016D4"/>
    <w:rsid w:val="00F37CB8"/>
    <w:rsid w:val="00F74FAC"/>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423F53"/>
    <w:rsid w:val="025172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532F"/>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40B"/>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C7AC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092C"/>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2AD0"/>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5F0B81"/>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2C3"/>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057A1"/>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450E"/>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AFD2237"/>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6F0F12"/>
    <w:rsid w:val="4C795A6B"/>
    <w:rsid w:val="4C7A2831"/>
    <w:rsid w:val="4C7F75EF"/>
    <w:rsid w:val="4C9466E6"/>
    <w:rsid w:val="4C9D1446"/>
    <w:rsid w:val="4C9D54FB"/>
    <w:rsid w:val="4C9E1C0A"/>
    <w:rsid w:val="4CA0433B"/>
    <w:rsid w:val="4CCA6523"/>
    <w:rsid w:val="4CD1661A"/>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37D2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34132"/>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A4358"/>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D6CC6"/>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13C2B"/>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02B0C"/>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991D0E"/>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86A61"/>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0E01D-1F9D-4E28-91B3-C0C1C99B6EDA}">
  <ds:schemaRefs/>
</ds:datastoreItem>
</file>

<file path=docProps/app.xml><?xml version="1.0" encoding="utf-8"?>
<Properties xmlns="http://schemas.openxmlformats.org/officeDocument/2006/extended-properties" xmlns:vt="http://schemas.openxmlformats.org/officeDocument/2006/docPropsVTypes">
  <Template>Normal</Template>
  <Pages>9</Pages>
  <Words>2210</Words>
  <Characters>12349</Characters>
  <Lines>111</Lines>
  <Paragraphs>31</Paragraphs>
  <TotalTime>0</TotalTime>
  <ScaleCrop>false</ScaleCrop>
  <LinksUpToDate>false</LinksUpToDate>
  <CharactersWithSpaces>14421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2023-05-17T07:01:00Z</dcterms:created>
  <dc:creator>A</dc:creator>
  <cp:lastModifiedBy>张敏洁</cp:lastModifiedBy>
  <dcterms:modified xsi:type="dcterms:W3CDTF">2024-09-03T08:46:41Z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A8D0B781DC3845C49E596B6FAF7153D4_13</vt:lpwstr>
  </property>
</Properties>
</file>