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45EE4">
      <w:pPr>
        <w:adjustRightInd w:val="0"/>
        <w:snapToGrid w:val="0"/>
        <w:spacing w:before="312" w:beforeLines="100" w:line="360" w:lineRule="auto"/>
        <w:rPr>
          <w:rFonts w:ascii="Times New Roman" w:hAnsi="Times New Roman" w:cs="Times New Roman"/>
          <w:sz w:val="24"/>
        </w:rPr>
      </w:pPr>
      <w:r>
        <w:rPr>
          <w:rFonts w:ascii="Times New Roman" w:hAnsi="Times New Roman" w:cs="Times New Roman"/>
          <w:b/>
          <w:bCs/>
          <w:sz w:val="24"/>
        </w:rPr>
        <mc:AlternateContent>
          <mc:Choice Requires="wpg">
            <w:drawing>
              <wp:anchor distT="0" distB="0" distL="114300" distR="114300" simplePos="0" relativeHeight="251660288" behindDoc="1" locked="0" layoutInCell="1" allowOverlap="1">
                <wp:simplePos x="0" y="0"/>
                <wp:positionH relativeFrom="column">
                  <wp:posOffset>4498975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1"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10"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4.2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tzIZctkAAAAJ&#10;AQAADwAAAGRycy9kb3ducmV2LnhtbE2PQU/DMAyF70j8h8hI3FjSjkFVmk5oAk4TEhvStFvWeG21&#10;xqmarN3+PeYEN9vv6fl7xfLiOjHiEFpPGpKZAoFUedtSreF7+/6QgQjRkDWdJ9RwxQDL8vamMLn1&#10;E33huIm14BAKudHQxNjnUoaqQWfCzPdIrB394EzkdailHczE4a6TqVJP0pmW+ENjelw1WJ02Z6fh&#10;YzLT6zx5G9en4+q63y4+d+sEtb6/S9QLiIiX+GeGX3xGh5KZDv5MNohOw7PKFmxlIU1BsCGbP/Lh&#10;wEOSgiwL+b9B+QNQSwMEFAAAAAgAh07iQJNTPjmLAgAAZwcAAA4AAABkcnMvZTJvRG9jLnhtbNVV&#10;3W7TMBS+R+IdLN/TJF27tVHbCVE2IU1Q8fMAruMkFolt2W7T3SPB7rjnUZB4m2mvwbGdZGuHxIQG&#10;EhdJjv+Ov/Od75zMTnd1hbZMGy7FHCeDGCMmqMy4KOb4w/uzZxOMjCUiI5UUbI4vmcGni6dPZo1K&#10;2VCWssqYRuBEmLRRc1xaq9IoMrRkNTEDqZiAxVzqmlgY6iLKNGnAe11Fwzg+jhqpM6UlZcbA7DIs&#10;4tajfohDmeecsqWkm5oJG7xqVhELIZmSK4MXHm2eM2rf5LlhFlVzDJFa/4ZLwF67d7SYkbTQRJWc&#10;thDIQyAcxFQTLuDS3tWSWII2mt9zVXOqpZG5HVBZRyEQzwhEkcQH3JxruVE+liJtCtWTDok6YP2P&#10;3dLX25VGPAMlJBgJUkPGb75/uv76BZ04chpVpLDnXKt3aqXbiSKMXLy7XNfuC5Ggnaf1sqeV7Syi&#10;MDmJITQgnMLS6GiSjFvaaQm5caemY4xgLZmGdNDyZXsyGYZTx9N46Nai7sLI4ephKE5TeFp+wLrH&#10;z+9VCafsRjNg23kT2xWnKx0GtxxBaQSKrr/9uLn6jI4cKLffbQkHiENyIelHg4R8URJRsOdGgQ4h&#10;Ph/C/vbIDfduW1dcnfGqcqw6+3ELA+mU1WsG+davMg+IpEbTtwDQlchkNBlPfZmMktF4FPJhrGaW&#10;lg5QDsDc3pCLfsFHcQvcxWRALr8QyEGqO4l0ifaE9lkGLrWx50zWyBmAGa6GDJGUbC9MC6Lb4qaF&#10;dMwBOJJWYm8CfLoZDzRA8yYgDQkE4+/LJ4Ei2NPP+P/Wj69J0M9j6uPEt4Jh67rXR9c+fAl1XeAf&#10;6cM3G+i/vv+0/wrX4O+Owb77f1z8BF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tzIZctkAAAAJAQAADwAA&#10;AAAAAAABACAAAAAiAAAAZHJzL2Rvd25yZXYueG1sUEsBAhQAFAAAAAgAh07iQJNTPjmLAgAAZwcA&#10;AA4AAAAAAAAAAQAgAAAAKA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1" o:title=""/>
                  <o:lock v:ext="edit" aspectratio="t"/>
                </v:shape>
                <w10:wrap type="tight"/>
              </v:group>
            </w:pict>
          </mc:Fallback>
        </mc:AlternateContent>
      </w:r>
      <w:r>
        <w:rPr>
          <w:rFonts w:ascii="Times New Roman" w:hAnsi="Times New Roman" w:cs="Times New Roman"/>
          <w:sz w:val="24"/>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vN3hmUCAABdBwAADgAAAGRycy9lMm9Eb2MueG1s3VXN&#10;jtMwEL4j8Q6W7zTp39KNmq4QZSukFVT8PIDrOIlFYlu2+7N3JODGnUdB4m1W+xrMOGm3PwcqBAc4&#10;NB2PZ8bf9804GV9t6oqshHVSq5R2OzElQnGdSVWk9P276ycjSpxnKmOVViKlt8LRq8njR+O1SURP&#10;l7rKhCVQRLlkbVJaem+SKHK8FDVzHW2Egs1c25p5WNoiyixbQ/W6inpxfBGttc2M1Vw4B95ps0nb&#10;ivacgjrPJRdTzZe1UL6pakXFPFBypTSOTgLaPBfcv85zJzypUgpMfXjCIWAv8BlNxiwpLDOl5C0E&#10;dg6EI041kwoO3ZWaMs/I0sqTUrXkVjud+w7XddQQCYoAi258pM3M6qUJXIpkXZid6NCoI9V/uyx/&#10;tZpbIrOUPqVEsRoafv/9493Xz2SA2qxNkUDIzJq3Zm5bR9GskO4mtzX+AxGyCare7lQVG084OEcx&#10;MAO9OWwN+qPusFWdl9Cakyxevmjz2pSLy7gXMqLtcRGi2oEwkifwa8UB60ScX48kZPmlFSA1VlOr&#10;ueRz2yweBOpvBbr79uP+yyfSR4EwHkOaBIZIbjT/4IjSz0umCvHMGRhCuGgYHR2Gh+XBaYtKmmtZ&#10;Vagp2n/2VhCbiHohoNn2ZRYAscRZ/gYA4v0YDUbDy3BHBt3BMPQf9r0VnpcIKAdgGItE9jYCiwfg&#10;SNHBsJw7Ht1mMg5bDEJa52dC1wQNAAznQntYwlY3rkWwDUG30igbIGNJpQ4cABU9AWWDK5gAs+ke&#10;GH9/di6OZmf4b89OD+HvjcD/OBvhLQNv3TDs7RcCX+v7a7D3v4qTn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G7zd4Z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1" o:title=""/>
                  <o:lock v:ext="edit" aspectratio="t"/>
                </v:shape>
                <w10:wrap type="tight"/>
              </v:group>
            </w:pict>
          </mc:Fallback>
        </mc:AlternateContent>
      </w:r>
      <w:r>
        <w:rPr>
          <w:rFonts w:ascii="Times New Roman" w:hAnsi="Times New Roman" w:cs="Times New Roman"/>
          <w:b/>
          <w:bCs/>
          <w:sz w:val="24"/>
        </w:rPr>
        <w:t>Review Article</w:t>
      </w:r>
    </w:p>
    <w:p w14:paraId="00590F06">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73A2038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296DAA7C">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6F321C81">
      <w:pPr>
        <w:adjustRightInd w:val="0"/>
        <w:snapToGrid w:val="0"/>
        <w:spacing w:before="156" w:beforeLines="50" w:line="360" w:lineRule="auto"/>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07C6950">
      <w:pPr>
        <w:adjustRightInd w:val="0"/>
        <w:snapToGrid w:val="0"/>
        <w:spacing w:before="156" w:beforeLines="50" w:line="360" w:lineRule="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E103FE">
      <w:pPr>
        <w:adjustRightInd w:val="0"/>
        <w:snapToGrid w:val="0"/>
        <w:spacing w:line="360" w:lineRule="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66310B3">
      <w:pPr>
        <w:adjustRightInd w:val="0"/>
        <w:snapToGrid w:val="0"/>
        <w:spacing w:line="360" w:lineRule="auto"/>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1846C62">
      <w:pPr>
        <w:adjustRightInd w:val="0"/>
        <w:snapToGrid w:val="0"/>
        <w:spacing w:before="156" w:before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03EBEC6">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52297D3B">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1CB62F54">
      <w:pPr>
        <w:adjustRightInd w:val="0"/>
        <w:snapToGrid w:val="0"/>
        <w:spacing w:before="312" w:beforeLines="100" w:line="360" w:lineRule="auto"/>
        <w:rPr>
          <w:rFonts w:ascii="Times New Roman" w:hAnsi="Times New Roman" w:eastAsia="Times New Roman" w:cs="Times New Roman"/>
          <w:b/>
          <w:bCs/>
          <w:iCs/>
          <w:color w:val="000000" w:themeColor="text1"/>
          <w:sz w:val="24"/>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How to Use This Template</w:t>
      </w:r>
    </w:p>
    <w:p w14:paraId="14427CC4">
      <w:pPr>
        <w:adjustRightInd w:val="0"/>
        <w:snapToGrid w:val="0"/>
        <w:spacing w:before="156" w:beforeLines="50" w:line="360" w:lineRule="auto"/>
        <w:rPr>
          <w:rFonts w:ascii="Times New Roman" w:hAnsi="Times New Roman" w:eastAsia="Times New Roman" w:cs="Times New Roman"/>
          <w:iCs/>
          <w:color w:val="190F13"/>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review: Abstract, Keywords, Introduction, Main Text, Conclusion,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"mailto:editorialoffice@jmijournal.com" </w:instrText>
      </w:r>
      <w:r>
        <w:fldChar w:fldCharType="separate"/>
      </w:r>
      <w:r>
        <w:rPr>
          <w:rStyle w:val="17"/>
          <w:rFonts w:ascii="Times New Roman" w:hAnsi="Times New Roman" w:cs="Times New Roman"/>
          <w:b/>
          <w:bCs/>
          <w:i/>
          <w:color w:val="808080" w:themeColor="background1" w:themeShade="80"/>
          <w:sz w:val="18"/>
          <w:szCs w:val="18"/>
        </w:rPr>
        <w:t>editorial office</w:t>
      </w:r>
      <w:r>
        <w:rPr>
          <w:rStyle w:val="17"/>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5B9171C">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B877F2">
      <w:pPr>
        <w:adjustRightInd w:val="0"/>
        <w:snapToGrid w:val="0"/>
        <w:spacing w:line="360" w:lineRule="auto"/>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17DE5289">
      <w:pPr>
        <w:adjustRightInd w:val="0"/>
        <w:snapToGrid w:val="0"/>
        <w:spacing w:before="156" w:beforeLines="50" w:line="360" w:lineRule="auto"/>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47112085">
      <w:pPr>
        <w:adjustRightInd w:val="0"/>
        <w:snapToGrid w:val="0"/>
        <w:spacing w:before="312" w:beforeLines="100" w:line="360" w:lineRule="auto"/>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bookmarkStart w:id="1" w:name="_Hlk59626732"/>
      <w:r>
        <w:rPr>
          <w:rFonts w:ascii="Times New Roman" w:hAnsi="Times New Roman" w:cs="Times New Roman"/>
          <w:sz w:val="24"/>
        </w:rPr>
        <w:t xml:space="preserve">Materials Informatics, material characterization, advanced materials, </w:t>
      </w:r>
      <w:bookmarkEnd w:id="1"/>
      <w:r>
        <w:rPr>
          <w:rFonts w:ascii="Times New Roman" w:hAnsi="Times New Roman" w:cs="Times New Roman"/>
          <w:sz w:val="24"/>
        </w:rPr>
        <w:t>composites, Materials Science</w:t>
      </w:r>
      <w:r>
        <w:rPr>
          <w:rFonts w:ascii="Times New Roman" w:hAnsi="Times New Roman" w:cs="Times New Roman"/>
          <w:b/>
          <w:bCs/>
          <w:iCs/>
          <w:color w:val="808080" w:themeColor="background1" w:themeShade="80"/>
          <w:sz w:val="24"/>
        </w:rPr>
        <w:t xml:space="preserve"> </w:t>
      </w:r>
    </w:p>
    <w:p w14:paraId="7719647B">
      <w:pPr>
        <w:adjustRightInd w:val="0"/>
        <w:snapToGrid w:val="0"/>
        <w:spacing w:line="360" w:lineRule="auto"/>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2430BE8B">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D0A97B6">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1A6B0A52">
      <w:pPr>
        <w:adjustRightInd w:val="0"/>
        <w:snapToGrid w:val="0"/>
        <w:spacing w:before="312" w:beforeLines="100" w:line="360" w:lineRule="auto"/>
        <w:rPr>
          <w:rFonts w:ascii="Times New Roman" w:hAnsi="Times New Roman" w:eastAsia="宋体" w:cs="Times New Roman"/>
          <w:b/>
          <w:bCs/>
          <w:iCs/>
          <w:color w:val="190F13"/>
          <w:sz w:val="24"/>
        </w:rPr>
      </w:pPr>
      <w:bookmarkStart w:id="2" w:name="OLE_LINK3"/>
      <w:r>
        <w:rPr>
          <w:rFonts w:ascii="Times New Roman" w:hAnsi="Times New Roman" w:eastAsia="宋体" w:cs="Times New Roman"/>
          <w:b/>
          <w:bCs/>
          <w:iCs/>
          <w:color w:val="190F13"/>
          <w:sz w:val="24"/>
        </w:rPr>
        <w:t>LEVEL 1 HEADING</w:t>
      </w:r>
    </w:p>
    <w:p w14:paraId="1777A02B">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634843D2">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65EC3F3">
      <w:pPr>
        <w:pStyle w:val="28"/>
        <w:spacing w:line="360" w:lineRule="auto"/>
        <w:ind w:firstLine="0"/>
        <w:rPr>
          <w:rFonts w:ascii="Times New Roman" w:hAnsi="Times New Roman" w:eastAsia="宋体"/>
          <w:b/>
          <w:bCs/>
          <w:sz w:val="24"/>
          <w:szCs w:val="28"/>
        </w:rPr>
      </w:pPr>
      <w:r>
        <w:rPr>
          <w:rFonts w:ascii="Times New Roman" w:hAnsi="Times New Roman" w:eastAsia="宋体"/>
          <w:b/>
          <w:bCs/>
          <w:sz w:val="24"/>
          <w:szCs w:val="28"/>
        </w:rPr>
        <w:t>Level 2 heading</w:t>
      </w:r>
    </w:p>
    <w:p w14:paraId="5C903A5C">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41BC9A5">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91379D5">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5B35D7BD">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18"/>
          <w:szCs w:val="18"/>
        </w:rPr>
        <w:t>http://www.wma.net/en/30publications/10policies/b3/</w:t>
      </w:r>
      <w:r>
        <w:rPr>
          <w:rStyle w:val="17"/>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3BA2551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7"/>
          <w:rFonts w:ascii="Times New Roman" w:hAnsi="Times New Roman" w:cs="Times New Roman"/>
          <w:b/>
          <w:bCs/>
          <w:sz w:val="24"/>
        </w:rPr>
        <w:t>Supplementary Material Template</w:t>
      </w:r>
      <w:r>
        <w:rPr>
          <w:rStyle w:val="17"/>
          <w:rFonts w:ascii="Times New Roman" w:hAnsi="Times New Roman" w:cs="Times New Roman"/>
          <w:b/>
          <w:bCs/>
          <w:sz w:val="24"/>
        </w:rPr>
        <w:fldChar w:fldCharType="end"/>
      </w:r>
      <w:r>
        <w:rPr>
          <w:rFonts w:ascii="Times New Roman" w:hAnsi="Times New Roman" w:cs="Times New Roman"/>
          <w:sz w:val="24"/>
        </w:rPr>
        <w:t>.</w:t>
      </w:r>
    </w:p>
    <w:p w14:paraId="5DA613C3">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7510E95">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0BA955CE">
      <w:pPr>
        <w:numPr>
          <w:ilvl w:val="0"/>
          <w:numId w:val="2"/>
        </w:numPr>
        <w:adjustRightInd w:val="0"/>
        <w:snapToGrid w:val="0"/>
        <w:spacing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7A4D73FC">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4F349E1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08677493">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3EFDFC8">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2468ADDC">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EE29F38">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3703206E">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0DFFE3D2">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2CD3AA2F">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4D85417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0A0FFF1">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2B878D81">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0A4C563F">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2D957432">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59977CAD">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396E2E0">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E8A5FAC">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6CF82BC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C2C84EA">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22F3B7F6">
            <w:pPr>
              <w:pStyle w:val="25"/>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AE51F9F">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42FB0D00">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342E84C1">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7A7AC16">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681CF3C">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372C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7B367CE">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08A1F17A">
            <w:pPr>
              <w:pStyle w:val="25"/>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47B98C2B">
            <w:pPr>
              <w:pStyle w:val="25"/>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44325F6">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0F142E21">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43A60B6">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1E9CECDA">
            <w:pPr>
              <w:pStyle w:val="25"/>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0B8EB1F">
      <w:pPr>
        <w:widowControl/>
        <w:adjustRightInd w:val="0"/>
        <w:snapToGrid w:val="0"/>
        <w:spacing w:line="360" w:lineRule="auto"/>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20BFAE">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06651A0">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05631AF">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5BCAFC9">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42B0881D">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9628F1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5171A14">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2502CC3">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FF20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8D1F0DB">
            <w:pPr>
              <w:pStyle w:val="27"/>
              <w:spacing w:line="360" w:lineRule="auto"/>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0911EE5C">
            <w:pPr>
              <w:pStyle w:val="29"/>
              <w:spacing w:line="360" w:lineRule="auto"/>
              <w:jc w:val="center"/>
              <w:rPr>
                <w:rFonts w:ascii="Times New Roman" w:hAnsi="Times New Roman"/>
              </w:rPr>
            </w:pPr>
            <w:r>
              <w:rPr>
                <w:rFonts w:ascii="Times New Roman" w:hAnsi="Times New Roman"/>
              </w:rPr>
              <w:t>(1)</w:t>
            </w:r>
          </w:p>
        </w:tc>
      </w:tr>
    </w:tbl>
    <w:p w14:paraId="51F73C98">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4DC7454">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B75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8677D93">
            <w:pPr>
              <w:pStyle w:val="24"/>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6549600B">
            <w:pPr>
              <w:pStyle w:val="24"/>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4AF67890">
            <w:pPr>
              <w:pStyle w:val="24"/>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6C7BFBBC">
            <w:pPr>
              <w:pStyle w:val="24"/>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D63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D9DADC5">
            <w:pPr>
              <w:pStyle w:val="24"/>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20261F">
            <w:pPr>
              <w:pStyle w:val="24"/>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840B15C">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04E0E3FA">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296A13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7B3D26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89BE3A8">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4F7971E2">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112BA6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684D575">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0FDC883">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3023B2E">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17A53BA4">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38EDB395">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CONCLUSIONS</w:t>
      </w:r>
    </w:p>
    <w:p w14:paraId="120F2D07">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3" w:name="OLE_LINK2"/>
      <w:r>
        <w:rPr>
          <w:rFonts w:ascii="Times New Roman" w:hAnsi="Times New Roman" w:cs="Times New Roman"/>
          <w:sz w:val="24"/>
        </w:rPr>
        <w:t>An attractive and interesting conclusion is always welcome.</w:t>
      </w:r>
      <w:bookmarkEnd w:id="3"/>
    </w:p>
    <w:p w14:paraId="6B3F2D79">
      <w:pPr>
        <w:widowControl/>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1C0632E">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b/>
          <w:bCs/>
          <w:i/>
          <w:iCs/>
          <w:color w:val="808080" w:themeColor="background1" w:themeShade="80"/>
          <w:sz w:val="18"/>
          <w:szCs w:val="18"/>
        </w:rPr>
        <w:t xml:space="preserve">Avoid redundant explanations to </w:t>
      </w:r>
      <w:bookmarkEnd w:id="4"/>
      <w:r>
        <w:rPr>
          <w:rFonts w:ascii="Times New Roman" w:hAnsi="Times New Roman" w:cs="Times New Roman"/>
          <w:b/>
          <w:bCs/>
          <w:i/>
          <w:iCs/>
          <w:color w:val="808080" w:themeColor="background1" w:themeShade="80"/>
          <w:sz w:val="18"/>
          <w:szCs w:val="18"/>
        </w:rPr>
        <w:t>data or other materials given in the Introduction or other sections</w:t>
      </w:r>
      <w:bookmarkEnd w:id="5"/>
      <w:r>
        <w:rPr>
          <w:rFonts w:ascii="Times New Roman" w:hAnsi="Times New Roman" w:cs="Times New Roman"/>
          <w:b/>
          <w:bCs/>
          <w:i/>
          <w:iCs/>
          <w:color w:val="808080" w:themeColor="background1" w:themeShade="80"/>
          <w:sz w:val="18"/>
          <w:szCs w:val="18"/>
        </w:rPr>
        <w:t>;</w:t>
      </w:r>
    </w:p>
    <w:p w14:paraId="7CA9CF06">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19780800">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CD7B45A">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6A2EBE0E">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eastAsiaTheme="minor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E3E055E">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C60984D">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30BFA1C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2AF41E3">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587F8A7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FEED6E3">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8B68107">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0C80DD16">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1E0E51F">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1EEB2A3">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a manuscript does not involve such issue, please state “Not applicable.” in this section.</w:t>
      </w:r>
    </w:p>
    <w:p w14:paraId="7EEB1E3D">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191A897F">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w:t>
      </w:r>
      <w:bookmarkStart w:id="18" w:name="_GoBack"/>
      <w:bookmarkEnd w:id="18"/>
      <w:r>
        <w:rPr>
          <w:rFonts w:hint="eastAsia" w:ascii="Times New Roman" w:hAnsi="Times New Roman" w:cs="Times New Roman"/>
          <w:sz w:val="24"/>
        </w:rPr>
        <w:t>es supports transparency and trust between authors, readers, reviewers, editors and contributors and facilitates compliance with the terms of use of the relevant tool or technology.</w:t>
      </w:r>
    </w:p>
    <w:p w14:paraId="0997F998">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27A8EF0F">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16E7E5D9">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9696F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3CEE2261">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6A9B79C">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07F5A362">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589938E">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9EEAE31">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9D4E2B">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71CC7C38">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7"/>
          <w:rFonts w:ascii="Times New Roman" w:hAnsi="Times New Roman" w:cs="Times New Roman"/>
          <w:b/>
          <w:bCs/>
          <w:sz w:val="24"/>
        </w:rPr>
        <w:t>Editorial Policies</w:t>
      </w:r>
      <w:r>
        <w:rPr>
          <w:rStyle w:val="17"/>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4CC65DD0">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7109DCE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226DBE01">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71EE588">
      <w:pPr>
        <w:adjustRightInd w:val="0"/>
        <w:snapToGrid w:val="0"/>
        <w:spacing w:line="360" w:lineRule="auto"/>
        <w:rPr>
          <w:rFonts w:ascii="Times New Roman" w:hAnsi="Times New Roman" w:cs="Times New Roman"/>
          <w:sz w:val="20"/>
          <w:szCs w:val="20"/>
        </w:rPr>
      </w:pPr>
      <w:bookmarkStart w:id="10" w:name="_Hlk59626830"/>
      <w:r>
        <w:rPr>
          <w:rFonts w:ascii="Times New Roman" w:hAnsi="Times New Roman" w:cs="Times New Roman"/>
          <w:sz w:val="24"/>
        </w:rPr>
        <w:t xml:space="preserve">Authors should cite references </w:t>
      </w:r>
      <w:r>
        <w:rPr>
          <w:rFonts w:ascii="Times New Roman" w:hAnsi="Times New Roman" w:cs="Times New Roman"/>
          <w:b/>
          <w:bCs/>
          <w:sz w:val="24"/>
        </w:rPr>
        <w:t>in sequence</w:t>
      </w:r>
      <w:r>
        <w:rPr>
          <w:rFonts w:ascii="Times New Roman" w:hAnsi="Times New Roman" w:cs="Times New Roman"/>
          <w:sz w:val="24"/>
        </w:rPr>
        <w:t xml:space="preserve"> throughout the manuscript and indicate them in a superscript square bracket with one citation number[3], two separate citation numbers[4,5] or several consecutive citation numbers[6-9].</w:t>
      </w:r>
    </w:p>
    <w:p w14:paraId="275882F3">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09A4776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1" w:name="OLE_LINK22"/>
      <w:r>
        <w:rPr>
          <w:rFonts w:ascii="Times New Roman" w:hAnsi="Times New Roman" w:cs="Times New Roman"/>
          <w:b/>
          <w:bCs/>
          <w:color w:val="767171" w:themeColor="background2" w:themeShade="80"/>
          <w:sz w:val="18"/>
          <w:szCs w:val="18"/>
        </w:rPr>
        <w:t>Each reference should have a corresponding DOI number/website link</w:t>
      </w:r>
      <w:bookmarkEnd w:id="11"/>
      <w:r>
        <w:rPr>
          <w:rFonts w:ascii="Times New Roman" w:hAnsi="Times New Roman" w:cs="Times New Roman"/>
          <w:b/>
          <w:bCs/>
          <w:color w:val="767171" w:themeColor="background2" w:themeShade="80"/>
          <w:sz w:val="18"/>
          <w:szCs w:val="18"/>
        </w:rPr>
        <w:t>;</w:t>
      </w:r>
    </w:p>
    <w:p w14:paraId="05846237">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42B87E45">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3AD0EFF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2" w:name="OLE_LINK6"/>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7"/>
          <w:rFonts w:ascii="Times New Roman" w:hAnsi="Times New Roman" w:cs="Times New Roman"/>
          <w:b/>
          <w:bCs/>
          <w:color w:val="767171" w:themeColor="background2" w:themeShade="80"/>
          <w:sz w:val="18"/>
          <w:szCs w:val="18"/>
        </w:rPr>
        <w:t>List of Title Word Abbreviations</w:t>
      </w:r>
      <w:r>
        <w:rPr>
          <w:rStyle w:val="17"/>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7"/>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12"/>
    <w:p w14:paraId="7C919FFA">
      <w:pPr>
        <w:adjustRightInd w:val="0"/>
        <w:snapToGrid w:val="0"/>
        <w:spacing w:line="360" w:lineRule="auto"/>
        <w:jc w:val="left"/>
        <w:rPr>
          <w:rFonts w:ascii="Times New Roman" w:hAnsi="Times New Roman" w:cs="Times New Roman"/>
          <w:sz w:val="24"/>
        </w:rPr>
      </w:pPr>
    </w:p>
    <w:p w14:paraId="79B33932">
      <w:pPr>
        <w:adjustRightInd w:val="0"/>
        <w:snapToGrid w:val="0"/>
        <w:spacing w:line="360" w:lineRule="auto"/>
        <w:jc w:val="left"/>
        <w:rPr>
          <w:rFonts w:ascii="Times New Roman" w:hAnsi="Times New Roman" w:cs="Times New Roman"/>
          <w:sz w:val="24"/>
        </w:rPr>
      </w:pPr>
      <w:bookmarkStart w:id="13" w:name="OLE_LINK19"/>
      <w:r>
        <w:rPr>
          <w:rFonts w:ascii="Times New Roman" w:hAnsi="Times New Roman" w:cs="Times New Roman"/>
          <w:sz w:val="24"/>
        </w:rPr>
        <w:t>Examples of references are shown below:</w:t>
      </w:r>
    </w:p>
    <w:p w14:paraId="6BA62B46">
      <w:pPr>
        <w:rPr>
          <w:rFonts w:ascii="Times New Roman" w:hAnsi="Times New Roman" w:cs="Times New Roman"/>
          <w:b/>
          <w:bCs/>
          <w:szCs w:val="21"/>
        </w:rPr>
      </w:pPr>
      <w:r>
        <w:rPr>
          <w:rFonts w:ascii="Times New Roman" w:hAnsi="Times New Roman" w:cs="Times New Roman"/>
          <w:b/>
          <w:bCs/>
          <w:szCs w:val="21"/>
        </w:rPr>
        <w:t>Journal articles by individual authors</w:t>
      </w:r>
    </w:p>
    <w:p w14:paraId="60D6FCDC">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2AF7B6F">
      <w:pPr>
        <w:rPr>
          <w:rFonts w:ascii="Times New Roman" w:hAnsi="Times New Roman" w:cs="Times New Roman"/>
          <w:szCs w:val="21"/>
        </w:rPr>
      </w:pPr>
    </w:p>
    <w:p w14:paraId="111F204D">
      <w:pPr>
        <w:rPr>
          <w:rFonts w:ascii="Times New Roman" w:hAnsi="Times New Roman" w:cs="Times New Roman"/>
          <w:b/>
          <w:bCs/>
          <w:szCs w:val="21"/>
        </w:rPr>
      </w:pPr>
      <w:r>
        <w:rPr>
          <w:rFonts w:ascii="Times New Roman" w:hAnsi="Times New Roman" w:cs="Times New Roman"/>
          <w:b/>
          <w:bCs/>
          <w:szCs w:val="21"/>
        </w:rPr>
        <w:t>Organization as author</w:t>
      </w:r>
    </w:p>
    <w:p w14:paraId="7226EEAE">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5A9F78B4">
      <w:pPr>
        <w:rPr>
          <w:rFonts w:ascii="Times New Roman" w:hAnsi="Times New Roman" w:cs="Times New Roman"/>
          <w:szCs w:val="21"/>
        </w:rPr>
      </w:pPr>
    </w:p>
    <w:p w14:paraId="32E67605">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E4A757B">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989DD75">
      <w:pPr>
        <w:rPr>
          <w:rFonts w:ascii="Times New Roman" w:hAnsi="Times New Roman" w:cs="Times New Roman"/>
          <w:szCs w:val="21"/>
        </w:rPr>
      </w:pPr>
    </w:p>
    <w:p w14:paraId="590188F3">
      <w:pPr>
        <w:rPr>
          <w:rFonts w:ascii="Times New Roman" w:hAnsi="Times New Roman" w:cs="Times New Roman"/>
          <w:b/>
          <w:bCs/>
          <w:szCs w:val="21"/>
        </w:rPr>
      </w:pPr>
      <w:r>
        <w:rPr>
          <w:rFonts w:ascii="Times New Roman" w:hAnsi="Times New Roman" w:cs="Times New Roman"/>
          <w:b/>
          <w:bCs/>
          <w:szCs w:val="21"/>
        </w:rPr>
        <w:t>Journal articles not in English</w:t>
      </w:r>
    </w:p>
    <w:p w14:paraId="2AEFBC01">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4A0C3127">
      <w:pPr>
        <w:rPr>
          <w:rFonts w:ascii="Times New Roman" w:hAnsi="Times New Roman" w:cs="Times New Roman"/>
          <w:szCs w:val="21"/>
        </w:rPr>
      </w:pPr>
    </w:p>
    <w:p w14:paraId="50C68740">
      <w:pPr>
        <w:rPr>
          <w:rFonts w:ascii="Times New Roman" w:hAnsi="Times New Roman" w:cs="Times New Roman"/>
          <w:b/>
          <w:bCs/>
          <w:szCs w:val="21"/>
        </w:rPr>
      </w:pPr>
      <w:r>
        <w:rPr>
          <w:rFonts w:ascii="Times New Roman" w:hAnsi="Times New Roman" w:cs="Times New Roman"/>
          <w:b/>
          <w:bCs/>
          <w:szCs w:val="21"/>
        </w:rPr>
        <w:t>Journal articles ahead of print</w:t>
      </w:r>
    </w:p>
    <w:p w14:paraId="6B3F732C">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7C323F6A">
      <w:pPr>
        <w:rPr>
          <w:rFonts w:ascii="Times New Roman" w:hAnsi="Times New Roman" w:eastAsia="Roboto" w:cs="Times New Roman"/>
          <w:color w:val="000000"/>
          <w:szCs w:val="21"/>
          <w:shd w:val="clear" w:color="auto" w:fill="FFFFFF"/>
        </w:rPr>
      </w:pPr>
    </w:p>
    <w:p w14:paraId="2EB7BD0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59DB37D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49FB0B53">
      <w:pPr>
        <w:rPr>
          <w:rFonts w:ascii="Times New Roman" w:hAnsi="Times New Roman" w:eastAsia="Roboto" w:cs="Times New Roman"/>
          <w:color w:val="000000"/>
          <w:szCs w:val="21"/>
          <w:shd w:val="clear" w:color="auto" w:fill="FFFFFF"/>
        </w:rPr>
      </w:pPr>
    </w:p>
    <w:p w14:paraId="3EEE5A86">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5913ABA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2AE2CB8">
      <w:pPr>
        <w:rPr>
          <w:rFonts w:ascii="Times New Roman" w:hAnsi="Times New Roman" w:eastAsia="Roboto" w:cs="Times New Roman"/>
          <w:color w:val="000000"/>
          <w:szCs w:val="21"/>
          <w:shd w:val="clear" w:color="auto" w:fill="FFFFFF"/>
        </w:rPr>
      </w:pPr>
    </w:p>
    <w:p w14:paraId="4EF6680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5E00F46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65AD3842">
      <w:pPr>
        <w:rPr>
          <w:rFonts w:ascii="Times New Roman" w:hAnsi="Times New Roman" w:eastAsia="Roboto" w:cs="Times New Roman"/>
          <w:color w:val="000000"/>
          <w:szCs w:val="21"/>
          <w:shd w:val="clear" w:color="auto" w:fill="FFFFFF"/>
        </w:rPr>
      </w:pPr>
    </w:p>
    <w:p w14:paraId="41542D3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55569C3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6B508DB">
      <w:pPr>
        <w:rPr>
          <w:rFonts w:ascii="Times New Roman" w:hAnsi="Times New Roman" w:eastAsia="Roboto" w:cs="Times New Roman"/>
          <w:color w:val="000000"/>
          <w:szCs w:val="21"/>
          <w:shd w:val="clear" w:color="auto" w:fill="FFFFFF"/>
        </w:rPr>
      </w:pPr>
    </w:p>
    <w:p w14:paraId="1A21AFF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1967B07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39E92E4E">
      <w:pPr>
        <w:rPr>
          <w:rFonts w:ascii="Times New Roman" w:hAnsi="Times New Roman" w:eastAsia="Roboto" w:cs="Times New Roman"/>
          <w:color w:val="000000"/>
          <w:szCs w:val="21"/>
          <w:shd w:val="clear" w:color="auto" w:fill="FFFFFF"/>
        </w:rPr>
      </w:pPr>
    </w:p>
    <w:p w14:paraId="41A229D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052C369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7"/>
          <w:rFonts w:ascii="Times New Roman" w:hAnsi="Times New Roman" w:eastAsia="Roboto" w:cs="Times New Roman"/>
          <w:szCs w:val="21"/>
          <w:shd w:val="clear" w:color="auto" w:fill="FFFFFF"/>
        </w:rPr>
        <w:t>http://resolver.caltech.edu/CaltechTHESIS:05102010-145436548</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0C35E5CB">
      <w:pPr>
        <w:rPr>
          <w:rFonts w:ascii="Times New Roman" w:hAnsi="Times New Roman" w:eastAsia="Roboto" w:cs="Times New Roman"/>
          <w:color w:val="000000"/>
          <w:szCs w:val="21"/>
          <w:shd w:val="clear" w:color="auto" w:fill="FFFFFF"/>
        </w:rPr>
      </w:pPr>
    </w:p>
    <w:p w14:paraId="0ABD480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1A821A7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0C3E888D">
      <w:pPr>
        <w:rPr>
          <w:rFonts w:ascii="Times New Roman" w:hAnsi="Times New Roman" w:eastAsia="Roboto" w:cs="Times New Roman"/>
          <w:color w:val="000000"/>
          <w:szCs w:val="21"/>
          <w:shd w:val="clear" w:color="auto" w:fill="FFFFFF"/>
        </w:rPr>
      </w:pPr>
    </w:p>
    <w:p w14:paraId="56092E9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394E0903">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7"/>
          <w:rFonts w:ascii="Times New Roman" w:hAnsi="Times New Roman" w:eastAsia="Roboto" w:cs="Times New Roman"/>
          <w:szCs w:val="21"/>
          <w:shd w:val="clear" w:color="auto" w:fill="FFFFFF"/>
        </w:rPr>
        <w:t>https://www.who.int/</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01BC98FA">
      <w:pPr>
        <w:rPr>
          <w:rFonts w:ascii="Times New Roman" w:hAnsi="Times New Roman" w:eastAsia="Roboto" w:cs="Times New Roman"/>
          <w:color w:val="000000"/>
          <w:szCs w:val="21"/>
          <w:shd w:val="clear" w:color="auto" w:fill="FFFFFF"/>
        </w:rPr>
      </w:pPr>
    </w:p>
    <w:p w14:paraId="3B455CF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6F0CB87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7"/>
          <w:rFonts w:ascii="Times New Roman" w:hAnsi="Times New Roman" w:eastAsia="Roboto" w:cs="Times New Roman"/>
          <w:szCs w:val="21"/>
          <w:shd w:val="clear" w:color="auto" w:fill="FFFFFF"/>
        </w:rPr>
        <w:t>https://www.pennlive.com/news/2018/11/school_district_sued_over_burn.html</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560D8F50">
      <w:pPr>
        <w:rPr>
          <w:rFonts w:ascii="Times New Roman" w:hAnsi="Times New Roman" w:eastAsia="Roboto" w:cs="Times New Roman"/>
          <w:color w:val="000000"/>
          <w:szCs w:val="21"/>
          <w:shd w:val="clear" w:color="auto" w:fill="FFFFFF"/>
        </w:rPr>
      </w:pPr>
    </w:p>
    <w:p w14:paraId="613FC10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5DE43D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1ADDCF26">
      <w:pPr>
        <w:rPr>
          <w:rFonts w:ascii="Times New Roman" w:hAnsi="Times New Roman" w:eastAsia="Roboto" w:cs="Times New Roman"/>
          <w:color w:val="000000"/>
          <w:szCs w:val="21"/>
          <w:shd w:val="clear" w:color="auto" w:fill="FFFFFF"/>
        </w:rPr>
      </w:pPr>
    </w:p>
    <w:p w14:paraId="4A60AD2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79E0CFB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408EACE6">
      <w:pPr>
        <w:rPr>
          <w:rFonts w:ascii="Times New Roman" w:hAnsi="Times New Roman" w:eastAsia="Roboto" w:cs="Times New Roman"/>
          <w:color w:val="000000"/>
          <w:szCs w:val="21"/>
          <w:shd w:val="clear" w:color="auto" w:fill="FFFFFF"/>
        </w:rPr>
      </w:pPr>
    </w:p>
    <w:p w14:paraId="3C8BDD9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5CC0516D">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Bio-Rad Laboratories.</w:t>
      </w:r>
      <w:r>
        <w:fldChar w:fldCharType="begin"/>
      </w:r>
      <w:r>
        <w:instrText xml:space="preserve"> HYPERLINK "%20https:/spectrabase.com/" </w:instrText>
      </w:r>
      <w:r>
        <w:fldChar w:fldCharType="separate"/>
      </w:r>
      <w:r>
        <w:rPr>
          <w:rStyle w:val="17"/>
          <w:rFonts w:ascii="Times New Roman" w:hAnsi="Times New Roman" w:eastAsia="Roboto" w:cs="Times New Roman"/>
          <w:szCs w:val="21"/>
          <w:shd w:val="clear" w:color="auto" w:fill="FFFFFF"/>
        </w:rPr>
        <w:t xml:space="preserve"> https://spectrabase.com/</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5900BA8F">
      <w:pPr>
        <w:rPr>
          <w:rFonts w:ascii="Times New Roman" w:hAnsi="Times New Roman" w:eastAsia="Roboto" w:cs="Times New Roman"/>
          <w:color w:val="000000"/>
          <w:szCs w:val="21"/>
          <w:shd w:val="clear" w:color="auto" w:fill="FFFFFF"/>
        </w:rPr>
      </w:pPr>
    </w:p>
    <w:p w14:paraId="0C01D26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3CF058D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6B8DBB4C">
      <w:pPr>
        <w:rPr>
          <w:rFonts w:ascii="Times New Roman" w:hAnsi="Times New Roman" w:eastAsia="Roboto" w:cs="Times New Roman"/>
          <w:color w:val="000000"/>
          <w:szCs w:val="21"/>
          <w:shd w:val="clear" w:color="auto" w:fill="FFFFFF"/>
        </w:rPr>
      </w:pPr>
    </w:p>
    <w:p w14:paraId="37574879">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2A841928">
      <w:pPr>
        <w:rPr>
          <w:rFonts w:ascii="Times New Roman" w:hAnsi="Times New Roman"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7"/>
          <w:rFonts w:ascii="Times New Roman" w:hAnsi="Times New Roman" w:eastAsia="Roboto" w:cs="Times New Roman"/>
          <w:szCs w:val="21"/>
          <w:shd w:val="clear" w:color="auto" w:fill="FFFFFF"/>
        </w:rPr>
        <w:t>https://arxiv.org/abs/2401.00044</w:t>
      </w:r>
      <w:r>
        <w:rPr>
          <w:rStyle w:val="17"/>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10"/>
      <w:bookmarkEnd w:id="13"/>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93E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029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4609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18B56FA">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949CE6">
    <w:pPr>
      <w:adjustRightInd w:val="0"/>
      <w:snapToGrid w:val="0"/>
      <w:spacing w:before="240" w:line="260" w:lineRule="atLeast"/>
    </w:pPr>
    <w:r>
      <w:rPr>
        <w:rFonts w:hint="eastAsia"/>
        <w:b/>
        <w:bCs/>
        <w:sz w:val="16"/>
        <w:szCs w:val="16"/>
      </w:rPr>
      <w:drawing>
        <wp:inline distT="0" distB="0" distL="0" distR="0">
          <wp:extent cx="843915" cy="323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drawing>
        <wp:inline distT="0" distB="0" distL="0" distR="0">
          <wp:extent cx="921385" cy="301625"/>
          <wp:effectExtent l="0" t="0" r="0" b="3175"/>
          <wp:docPr id="14552033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03347" name="图片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44616" cy="309243"/>
                  </a:xfrm>
                  <a:prstGeom prst="rect">
                    <a:avLst/>
                  </a:prstGeom>
                  <a:noFill/>
                  <a:ln>
                    <a:noFill/>
                  </a:ln>
                </pic:spPr>
              </pic:pic>
            </a:graphicData>
          </a:graphic>
        </wp:inline>
      </w:drawing>
    </w:r>
    <w:r>
      <w:rPr>
        <w:rFonts w:hint="eastAsia"/>
        <w:b/>
        <w:bCs/>
        <w:sz w:val="16"/>
        <w:szCs w:val="16"/>
      </w:rPr>
      <w:t xml:space="preserve">                                       </w:t>
    </w:r>
    <w:r>
      <w:fldChar w:fldCharType="begin"/>
    </w:r>
    <w:r>
      <w:instrText xml:space="preserve"> HYPERLINK "https://www.oaepublish.com/jmi" </w:instrText>
    </w:r>
    <w:r>
      <w:fldChar w:fldCharType="separate"/>
    </w:r>
    <w:r>
      <w:rPr>
        <w:rStyle w:val="17"/>
        <w:rFonts w:ascii="Arial" w:hAnsi="Arial" w:cs="Arial"/>
        <w:b/>
        <w:bCs/>
        <w:sz w:val="16"/>
        <w:szCs w:val="16"/>
      </w:rPr>
      <w:t>https://www.oaepublish.com/jmi</w:t>
    </w:r>
    <w:r>
      <w:rPr>
        <w:rStyle w:val="17"/>
        <w:rFonts w:ascii="Arial" w:hAnsi="Arial" w:cs="Arial"/>
        <w:b/>
        <w:bCs/>
        <w:sz w:val="16"/>
        <w:szCs w:val="16"/>
      </w:rPr>
      <w:fldChar w:fldCharType="end"/>
    </w:r>
    <w:r>
      <w:rPr>
        <w:rFonts w:hint="eastAsia"/>
        <w:b/>
        <w:bCs/>
        <w:sz w:val="16"/>
        <w:szCs w:val="16"/>
      </w:rPr>
      <w:t xml:space="preserve">  </w:t>
    </w:r>
  </w:p>
  <w:p w14:paraId="2553E292">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6F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5" w:name="_Hlk216170747"/>
    <w:r>
      <w:rPr>
        <w:rFonts w:hint="eastAsia" w:ascii="Times New Roman" w:hAnsi="Times New Roman" w:cs="Times New Roman"/>
        <w:i/>
        <w:iCs/>
        <w:sz w:val="14"/>
        <w:szCs w:val="14"/>
      </w:rPr>
      <w:t>J. Mater. Inf</w:t>
    </w:r>
    <w:r>
      <w:rPr>
        <w:rFonts w:hint="eastAsia" w:ascii="Times New Roman" w:hAnsi="Times New Roman" w:cs="Times New Roman"/>
        <w:sz w:val="14"/>
        <w:szCs w:val="14"/>
      </w:rPr>
      <w:t>.</w:t>
    </w:r>
    <w:r>
      <w:rPr>
        <w:rFonts w:hint="eastAsia" w:ascii="Times New Roman" w:hAnsi="Times New Roman" w:cs="Times New Roman"/>
        <w:i/>
        <w:iCs/>
        <w:sz w:val="16"/>
        <w:szCs w:val="16"/>
      </w:rPr>
      <w:t xml:space="preserve">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5"/>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34D1F">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4" w:name="_Hlk216170773"/>
    <w:r>
      <w:rPr>
        <w:rFonts w:hint="eastAsia" w:ascii="Times New Roman" w:hAnsi="Times New Roman" w:cs="Times New Roman"/>
        <w:i/>
        <w:iCs/>
        <w:sz w:val="14"/>
        <w:szCs w:val="14"/>
      </w:rPr>
      <w:t xml:space="preserve">J. Mater. Inf. </w:t>
    </w:r>
    <w:r>
      <w:rPr>
        <w:rFonts w:ascii="Times New Roman" w:hAnsi="Times New Roman" w:cs="Times New Roman"/>
        <w:sz w:val="14"/>
        <w:szCs w:val="14"/>
      </w:rPr>
      <w:t>Year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bookmarkEnd w:id="14"/>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FA2B">
    <w:pPr>
      <w:pStyle w:val="6"/>
    </w:pPr>
    <w:bookmarkStart w:id="16"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2947670</wp:posOffset>
              </wp:positionH>
              <wp:positionV relativeFrom="paragraph">
                <wp:posOffset>-46355</wp:posOffset>
              </wp:positionV>
              <wp:extent cx="2815590" cy="31559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15590" cy="315595"/>
                      </a:xfrm>
                      <a:prstGeom prst="rect">
                        <a:avLst/>
                      </a:prstGeom>
                      <a:solidFill>
                        <a:srgbClr val="FFFFFF">
                          <a:alpha val="0"/>
                        </a:srgbClr>
                      </a:solidFill>
                      <a:ln>
                        <a:noFill/>
                      </a:ln>
                    </wps:spPr>
                    <wps:txbx>
                      <w:txbxContent>
                        <w:p w14:paraId="24B6FAC2">
                          <w:r>
                            <w:rPr>
                              <w:rFonts w:hint="eastAsia" w:ascii="Arial" w:hAnsi="Arial"/>
                              <w:b/>
                              <w:color w:val="003F9A"/>
                              <w:sz w:val="24"/>
                            </w:rPr>
                            <w:t>Journal of Materials Informatics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2.1pt;margin-top:-3.65pt;height:24.85pt;width:221.7pt;z-index:251662336;mso-width-relative:page;mso-height-relative:page;" fillcolor="#FFFFFF" filled="t" stroked="f" coordsize="21600,21600" o:gfxdata="UEsDBAoAAAAAAIdO4kAAAAAAAAAAAAAAAAAEAAAAZHJzL1BLAwQUAAAACACHTuJAOWyjy9gAAAAJ&#10;AQAADwAAAGRycy9kb3ducmV2LnhtbE2PQU+DQBCF7yb+h82YeDHtbpFQiiw9NHow0SaivS8wApWd&#10;Jey2xX/veNLj5H1575t8O9tBnHHyvSMNq6UCgVS7pqdWw8f70yIF4YOhxgyOUMM3etgW11e5yRp3&#10;oTc8l6EVXEI+Mxq6EMZMSl93aI1fuhGJs083WRP4nFrZTObC5XaQkVKJtKYnXujMiLsO66/yZHn3&#10;cU7HQ/WyOz6Xd9Ux2lP/mpLWtzcr9QAi4Bz+YPjVZ3Uo2KlyJ2q8GDTESRwxqmGxvgfBwEatExAV&#10;J1EMssjl/w+KH1BLAwQUAAAACACHTuJAoZ9E6zYCAABdBAAADgAAAGRycy9lMm9Eb2MueG1srVTN&#10;bhMxEL4j8Q6W72STtIF21U1VGgUhlR+p8ACO15u18HrM2MlueAB4A05cuPNceQ7GdlpCufTAHqz5&#10;8zcz34z34nLoDNsq9BpsxSejMWfKSqi1XVf844flszPOfBC2FgasqvhOeX45f/rkonelmkILplbI&#10;CMT6sncVb0NwZVF42apO+BE4ZcnZAHYikIrrokbRE3pniul4/LzoAWuHIJX3ZF1kJz8g4mMAoWm0&#10;VAuQm07ZkFFRGRGoJd9q5/k8Vds0SoZ3TeNVYKbi1GlIJyUheRXPYn4hyjUK12p5KEE8poQHPXVC&#10;W0p6D7UQQbAN6n+gOi0RPDRhJKErciOJEepiMn7AzW0rnEq9ENXe3ZPu/x+sfLt9j0zXtAknnFnR&#10;0cT337/tf/za//zKyEYE9c6XFHfrKDIML2Gg4NSsdzcgP3lm4boVdq2uEKFvlaipwEm8WRxdzTg+&#10;gqz6N1BTIrEJkICGBrvIHvHBCJ2Gs7sfjhoCk2Scnk1ms3NySfKdRHmWUojy7rZDH14p6FgUKo40&#10;/IQutjc+xGpEeRcSk3kwul5qY5KC69W1QbYVtCjL9OW7xrUiW9OyEIbPoQnvLwxjI5KFiJnTRUvi&#10;ILadCQjDajhwuoJ6R2wg5K2kN0lCC/iFs542suL+80ag4sy8tsTo+eT0NK5wUk5nL6ak4LFndewR&#10;VhJUxQNnWbwOee03DvW6pUx5hhauaAqNTgTFceWqDnXT1qU+Dy8krvWxnqL+/BX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bKPL2AAAAAkBAAAPAAAAAAAAAAEAIAAAACIAAABkcnMvZG93bnJl&#10;di54bWxQSwECFAAUAAAACACHTuJAoZ9E6zYCAABdBAAADgAAAAAAAAABACAAAAAnAQAAZHJzL2Uy&#10;b0RvYy54bWxQSwUGAAAAAAYABgBZAQAAzwUAAAAA&#10;">
              <v:fill on="t" opacity="0f" focussize="0,0"/>
              <v:stroke on="f"/>
              <v:imagedata o:title=""/>
              <o:lock v:ext="edit" aspectratio="f"/>
              <v:textbox>
                <w:txbxContent>
                  <w:p w14:paraId="24B6FAC2">
                    <w:r>
                      <w:rPr>
                        <w:rFonts w:hint="eastAsia" w:ascii="Arial" w:hAnsi="Arial"/>
                        <w:b/>
                        <w:color w:val="003F9A"/>
                        <w:sz w:val="24"/>
                      </w:rPr>
                      <w:t>Journal of Materials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7" w:name="_Hlk216170858"/>
    <w:r>
      <w:rPr>
        <w:rFonts w:hint="eastAsia" w:ascii="Times New Roman" w:hAnsi="Times New Roman" w:cs="Times New Roman"/>
        <w:i/>
        <w:iCs/>
        <w:sz w:val="16"/>
        <w:szCs w:val="16"/>
      </w:rPr>
      <w:t>J. Mater. Inf</w:t>
    </w:r>
    <w:r>
      <w:rPr>
        <w:rFonts w:hint="eastAsia" w:ascii="Times New Roman" w:hAnsi="Times New Roman" w:cs="Times New Roman"/>
        <w:sz w:val="16"/>
        <w:szCs w:val="16"/>
      </w:rPr>
      <w:t>.</w:t>
    </w:r>
    <w:r>
      <w:rPr>
        <w:rFonts w:ascii="Times New Roman" w:hAnsi="Times New Roman" w:cs="Times New Roman"/>
        <w:i/>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bookmarkEnd w:id="17"/>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6"/>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78BA"/>
    <w:rsid w:val="00030B75"/>
    <w:rsid w:val="0003284A"/>
    <w:rsid w:val="00040096"/>
    <w:rsid w:val="000D5EBD"/>
    <w:rsid w:val="000F30E6"/>
    <w:rsid w:val="001028D8"/>
    <w:rsid w:val="00106C98"/>
    <w:rsid w:val="00154CAD"/>
    <w:rsid w:val="00172A27"/>
    <w:rsid w:val="0019510B"/>
    <w:rsid w:val="001A2DF3"/>
    <w:rsid w:val="001B2247"/>
    <w:rsid w:val="002365C3"/>
    <w:rsid w:val="00273491"/>
    <w:rsid w:val="00292D7D"/>
    <w:rsid w:val="002A3A69"/>
    <w:rsid w:val="002A62E2"/>
    <w:rsid w:val="002A7A82"/>
    <w:rsid w:val="002D1AC0"/>
    <w:rsid w:val="00306C14"/>
    <w:rsid w:val="00314528"/>
    <w:rsid w:val="00324C88"/>
    <w:rsid w:val="00331E76"/>
    <w:rsid w:val="00342E8E"/>
    <w:rsid w:val="00347810"/>
    <w:rsid w:val="003608FF"/>
    <w:rsid w:val="00375BA8"/>
    <w:rsid w:val="003B627D"/>
    <w:rsid w:val="00423880"/>
    <w:rsid w:val="004529A4"/>
    <w:rsid w:val="00497675"/>
    <w:rsid w:val="004B17D0"/>
    <w:rsid w:val="004F52CE"/>
    <w:rsid w:val="00515675"/>
    <w:rsid w:val="005570D9"/>
    <w:rsid w:val="005602C2"/>
    <w:rsid w:val="00581594"/>
    <w:rsid w:val="005C1F9C"/>
    <w:rsid w:val="005D1BA3"/>
    <w:rsid w:val="005F43A5"/>
    <w:rsid w:val="005F73AE"/>
    <w:rsid w:val="006050F9"/>
    <w:rsid w:val="00611D7C"/>
    <w:rsid w:val="00620996"/>
    <w:rsid w:val="00637595"/>
    <w:rsid w:val="00680726"/>
    <w:rsid w:val="006848DD"/>
    <w:rsid w:val="006A51A6"/>
    <w:rsid w:val="006C2E48"/>
    <w:rsid w:val="006D2211"/>
    <w:rsid w:val="0070133A"/>
    <w:rsid w:val="007202FE"/>
    <w:rsid w:val="007362D8"/>
    <w:rsid w:val="007B61BC"/>
    <w:rsid w:val="007D1FD5"/>
    <w:rsid w:val="007D31D7"/>
    <w:rsid w:val="007E169E"/>
    <w:rsid w:val="007F41B0"/>
    <w:rsid w:val="008075EB"/>
    <w:rsid w:val="00807D2F"/>
    <w:rsid w:val="00823556"/>
    <w:rsid w:val="00826536"/>
    <w:rsid w:val="00832CA5"/>
    <w:rsid w:val="00833759"/>
    <w:rsid w:val="00842C21"/>
    <w:rsid w:val="00873E39"/>
    <w:rsid w:val="008938D0"/>
    <w:rsid w:val="008A495C"/>
    <w:rsid w:val="008A5B85"/>
    <w:rsid w:val="008C4E37"/>
    <w:rsid w:val="008D3032"/>
    <w:rsid w:val="008E5297"/>
    <w:rsid w:val="008F2CA6"/>
    <w:rsid w:val="00921419"/>
    <w:rsid w:val="00922E3B"/>
    <w:rsid w:val="00931499"/>
    <w:rsid w:val="009472CA"/>
    <w:rsid w:val="009727F0"/>
    <w:rsid w:val="0097300C"/>
    <w:rsid w:val="009C1A6B"/>
    <w:rsid w:val="009F64CD"/>
    <w:rsid w:val="00A05A78"/>
    <w:rsid w:val="00A20909"/>
    <w:rsid w:val="00A2264B"/>
    <w:rsid w:val="00A23F51"/>
    <w:rsid w:val="00A260A3"/>
    <w:rsid w:val="00A318CF"/>
    <w:rsid w:val="00A35AF7"/>
    <w:rsid w:val="00A37A37"/>
    <w:rsid w:val="00A92D7D"/>
    <w:rsid w:val="00A9328A"/>
    <w:rsid w:val="00AB2D36"/>
    <w:rsid w:val="00B22370"/>
    <w:rsid w:val="00B42AC5"/>
    <w:rsid w:val="00B7260C"/>
    <w:rsid w:val="00BA2D0D"/>
    <w:rsid w:val="00BB3538"/>
    <w:rsid w:val="00BF48F7"/>
    <w:rsid w:val="00C14AFA"/>
    <w:rsid w:val="00C41C43"/>
    <w:rsid w:val="00C5076C"/>
    <w:rsid w:val="00C60711"/>
    <w:rsid w:val="00C6365E"/>
    <w:rsid w:val="00CA24BB"/>
    <w:rsid w:val="00CA2500"/>
    <w:rsid w:val="00CB1231"/>
    <w:rsid w:val="00D16246"/>
    <w:rsid w:val="00D35892"/>
    <w:rsid w:val="00D536BC"/>
    <w:rsid w:val="00DA2E11"/>
    <w:rsid w:val="00DA6670"/>
    <w:rsid w:val="00DF5C43"/>
    <w:rsid w:val="00E12BBD"/>
    <w:rsid w:val="00E15EE4"/>
    <w:rsid w:val="00E17ABF"/>
    <w:rsid w:val="00E31605"/>
    <w:rsid w:val="00E411BB"/>
    <w:rsid w:val="00E467F4"/>
    <w:rsid w:val="00E56E97"/>
    <w:rsid w:val="00E6441D"/>
    <w:rsid w:val="00E722BD"/>
    <w:rsid w:val="00EA21CF"/>
    <w:rsid w:val="00EA350B"/>
    <w:rsid w:val="00EA6127"/>
    <w:rsid w:val="00EA6ECD"/>
    <w:rsid w:val="00EE0F10"/>
    <w:rsid w:val="00EE548B"/>
    <w:rsid w:val="00EF10E5"/>
    <w:rsid w:val="00F159E2"/>
    <w:rsid w:val="00F42010"/>
    <w:rsid w:val="00F901AC"/>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B66C6"/>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966B8"/>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4C64"/>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26B8"/>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851D46"/>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D694D"/>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13541"/>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0E0A86"/>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01EBC"/>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8435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4B6D2C"/>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1F60"/>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7306F"/>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03B24"/>
    <w:rsid w:val="77F56C55"/>
    <w:rsid w:val="77F71011"/>
    <w:rsid w:val="77FC2229"/>
    <w:rsid w:val="7804644F"/>
    <w:rsid w:val="781771C7"/>
    <w:rsid w:val="78232BDA"/>
    <w:rsid w:val="782F6442"/>
    <w:rsid w:val="783432C1"/>
    <w:rsid w:val="78345E4D"/>
    <w:rsid w:val="78392E47"/>
    <w:rsid w:val="78401CDE"/>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C70BB7"/>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4F46E5"/>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1.xml"/><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1.bin"/><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f412018d-99d5-4868-9907-f46ad590632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2119</Words>
  <Characters>12590</Characters>
  <Lines>110</Lines>
  <Paragraphs>31</Paragraphs>
  <TotalTime>33</TotalTime>
  <ScaleCrop>false</ScaleCrop>
  <LinksUpToDate>false</LinksUpToDate>
  <CharactersWithSpaces>14550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信手</cp:lastModifiedBy>
  <dcterms:modified xsi:type="dcterms:W3CDTF">2026-02-05T06:02:48Z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B0FEBA7E9E534DE7AF3B2F0692320246</vt:lpwstr>
  </property>
  <property fmtid="{D5CDD505-2E9C-101B-9397-08002B2CF9AE}" pid="4" name="KSOTemplateDocerSaveRecord">
    <vt:lpwstr>eyJoZGlkIjoiZWRlNWU5OTJhYzRhMzgwMjRhODg2YThhNjA1MjUxYjgiLCJ1c2VySWQiOiI5OTUyMTI1MDkifQ==</vt:lpwstr>
  </property>
</Properties>
</file>