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56F0" w14:textId="77777777" w:rsidR="00B54901" w:rsidRDefault="00000000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14:paraId="26F4F5A1" w14:textId="77777777" w:rsidR="00B54901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E7FDD0F" w14:textId="77777777" w:rsidR="00B54901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2A504B70" w14:textId="77777777" w:rsidR="00B54901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7" w:history="1">
        <w:r>
          <w:rPr>
            <w:rStyle w:val="aa"/>
            <w:rFonts w:ascii="Times New Roman" w:eastAsia="宋体" w:hAnsi="Times New Roman" w:cs="Times New Roman" w:hint="eastAsia"/>
            <w:b/>
            <w:bCs/>
            <w:i/>
            <w:snapToGrid w:val="0"/>
            <w:color w:val="808080" w:themeColor="background1" w:themeShade="80"/>
            <w:kern w:val="0"/>
            <w:sz w:val="18"/>
            <w:szCs w:val="18"/>
            <w:lang w:bidi="en-US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656AC9FF" w14:textId="77777777" w:rsidR="00B54901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4CD43253" w14:textId="77777777" w:rsidR="00B54901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039B6935" w14:textId="77777777" w:rsidR="00B54901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B54901" w14:paraId="4491039F" w14:textId="77777777" w:rsidTr="00B54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7C1FBB91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686B950C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0241D271" w14:textId="77777777" w:rsidR="00B54901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3232EDCD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66D9A684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46D60D04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1CBE1DFC" w14:textId="77777777" w:rsidR="00B54901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B54901" w14:paraId="32C4CE5E" w14:textId="77777777" w:rsidTr="00B54901">
        <w:trPr>
          <w:trHeight w:val="394"/>
        </w:trPr>
        <w:tc>
          <w:tcPr>
            <w:tcW w:w="1533" w:type="dxa"/>
          </w:tcPr>
          <w:p w14:paraId="0A44B1A6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085FDA57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6047F573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43A01F4F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70DDEE11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0D02F040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44C77448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B54901" w14:paraId="640B00AF" w14:textId="77777777" w:rsidTr="00B54901">
        <w:trPr>
          <w:trHeight w:val="399"/>
        </w:trPr>
        <w:tc>
          <w:tcPr>
            <w:tcW w:w="1533" w:type="dxa"/>
          </w:tcPr>
          <w:p w14:paraId="432DA851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499EFFCB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73C7FCD0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5A3AB13F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18AE9721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7CE88D46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0080B0CB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B54901" w14:paraId="5BD6CD46" w14:textId="77777777" w:rsidTr="00B54901">
        <w:trPr>
          <w:trHeight w:val="399"/>
        </w:trPr>
        <w:tc>
          <w:tcPr>
            <w:tcW w:w="1533" w:type="dxa"/>
          </w:tcPr>
          <w:p w14:paraId="15262879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</w:tcPr>
          <w:p w14:paraId="73EB624D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28271497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7E4DBEFE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07A503D3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60905858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1C9A05A2" w14:textId="77777777" w:rsidR="00B54901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5A8DE3D3" w14:textId="77777777" w:rsidR="00B54901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1069F6FD" w14:textId="77777777" w:rsidR="00B54901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4C34F983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2754F9DF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The table caption should be placed above the table and labeled sequentially (e.g., Table 1, Table 2);</w:t>
      </w:r>
    </w:p>
    <w:p w14:paraId="0202AD58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3BC0A777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8E5574C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4152F200" w14:textId="77777777" w:rsidR="00B54901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261AB95A" w14:textId="77777777" w:rsidR="00B54901" w:rsidRDefault="00000000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7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B54901" w14:paraId="2E2C2A6A" w14:textId="77777777">
        <w:trPr>
          <w:jc w:val="center"/>
        </w:trPr>
        <w:tc>
          <w:tcPr>
            <w:tcW w:w="8409" w:type="dxa"/>
          </w:tcPr>
          <w:p w14:paraId="6A4572E1" w14:textId="77777777" w:rsidR="00B54901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3" w:dyaOrig="486" w14:anchorId="1ABC28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8" o:title=""/>
                </v:shape>
                <o:OLEObject Type="Embed" ProgID="Equation.3" ShapeID="_x0000_i1025" DrawAspect="Content" ObjectID="_1786964624" r:id="rId9"/>
              </w:object>
            </w:r>
          </w:p>
        </w:tc>
        <w:tc>
          <w:tcPr>
            <w:tcW w:w="435" w:type="dxa"/>
            <w:vAlign w:val="center"/>
          </w:tcPr>
          <w:p w14:paraId="055522FE" w14:textId="77777777" w:rsidR="00B54901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6F63EA90" w14:textId="77777777" w:rsidR="00B54901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672A9025" w14:textId="77777777" w:rsidR="00B54901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7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B54901" w14:paraId="7B57B4E5" w14:textId="77777777">
        <w:tc>
          <w:tcPr>
            <w:tcW w:w="4422" w:type="dxa"/>
          </w:tcPr>
          <w:p w14:paraId="66E8C2C4" w14:textId="77777777" w:rsidR="00B54901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F57AC3E" wp14:editId="2177A65C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4C58E" w14:textId="77777777" w:rsidR="00B54901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29B7EBA" w14:textId="77777777" w:rsidR="00B54901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0635D71D" wp14:editId="5A8A3625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96A81" w14:textId="77777777" w:rsidR="00B54901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B54901" w14:paraId="0E039A4A" w14:textId="77777777">
        <w:tc>
          <w:tcPr>
            <w:tcW w:w="8844" w:type="dxa"/>
            <w:gridSpan w:val="2"/>
          </w:tcPr>
          <w:p w14:paraId="6EC3B3D1" w14:textId="77777777" w:rsidR="00B54901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034C15A4" wp14:editId="18E6F325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64D6583A" w14:textId="77777777" w:rsidR="00B54901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3B42CDF8" w14:textId="77777777" w:rsidR="00B54901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0CE468B5" w14:textId="77777777" w:rsidR="00B54901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3191916A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Figures should be cited in numeric order (e.g., Figure 1, Figure 2) and placed after the paragraph where it is first cited;</w:t>
      </w:r>
    </w:p>
    <w:p w14:paraId="3884690C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4ABECD85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14DF5131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63A9187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1FEDC1E2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7F33CCC5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143A153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A909517" w14:textId="77777777" w:rsidR="00B54901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37B46614" w14:textId="77777777" w:rsidR="00B54901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1EBCE0A0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4F0223B4" w14:textId="77777777" w:rsidR="00B54901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20209878" w14:textId="77777777" w:rsidR="00B54901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1D85F289" w14:textId="77777777" w:rsidR="00B54901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3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B54901" w14:paraId="4AC2BDFA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6B63B6D" w14:textId="77777777" w:rsidR="00B54901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2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8128D48" w14:textId="77777777" w:rsidR="00B54901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B54901" w14:paraId="4D6610A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BFEE9D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D5E155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2011;364:412-21. [PMID: 21247310 DOI: 10.1056/NEJMoa1008108]</w:t>
            </w:r>
          </w:p>
        </w:tc>
      </w:tr>
      <w:tr w:rsidR="00B54901" w14:paraId="21E2E0F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990944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D055D8F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2002;40:679-86. [PMID: 12411462]</w:t>
            </w:r>
          </w:p>
        </w:tc>
      </w:tr>
      <w:tr w:rsidR="00B54901" w14:paraId="7B087E2D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7DDF99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9BBF73C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B54901" w14:paraId="6BE1C94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DD8C32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15819C7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2012;27:1903-7. (in Chinese)</w:t>
            </w:r>
          </w:p>
        </w:tc>
      </w:tr>
      <w:tr w:rsidR="00B54901" w14:paraId="7EFF973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FF458ED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C0460B9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Odibo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Epub ahead of print [PMID: 30461178 DOI: 10.1111/1471-0528.15541]</w:t>
            </w:r>
          </w:p>
        </w:tc>
      </w:tr>
      <w:tr w:rsidR="00B54901" w14:paraId="5B7AE06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59C6B8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529464D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Sherlock S, Dooley J. Diseases of the liver and billiary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B54901" w14:paraId="450EEC34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4007105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FFC81DD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B54901" w14:paraId="556F4D9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888568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16CC93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4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B54901" w14:paraId="0E6D4AD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FF9BAE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E041A2F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 w:rsidR="00B54901" w14:paraId="12164D87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1DD558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325F433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B54901" w14:paraId="10EA3646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CA8F766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280F9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B54901" w14:paraId="5643D3EB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430D40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Thesis or dissertation</w:t>
            </w:r>
          </w:p>
          <w:p w14:paraId="6041E328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AB46998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B54901" w14:paraId="4CBEC76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325C733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B57A76C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B54901" w14:paraId="78F632A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F4C436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1826E1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339868B8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B54901" w14:paraId="467080BF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80252BE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2C2CF24E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358656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01376D80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B54901" w14:paraId="7D1D350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507F089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7CA39234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A2CDE50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16595BA3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B54901" w14:paraId="135DF66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48781C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3D8B0A29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A119054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N-(p-nitroaryl)amides via reaction of nitrobenzene with nitriles. US 5380946, 1995.</w:t>
            </w:r>
          </w:p>
          <w:p w14:paraId="2EDA9A4B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B54901" w14:paraId="111018C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6C3A2DE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6A4BEE5F" w14:textId="77777777" w:rsidR="00B54901" w:rsidRDefault="00B5490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E04968A" w14:textId="77777777" w:rsidR="00B54901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arXiv:2401.00044.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2"/>
    </w:tbl>
    <w:p w14:paraId="319372D2" w14:textId="77777777" w:rsidR="00B54901" w:rsidRDefault="00B54901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00A8A4AE" w14:textId="77777777" w:rsidR="00B54901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5" w:history="1">
        <w:r>
          <w:rPr>
            <w:rStyle w:val="aa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60C25823" w14:textId="77777777" w:rsidR="00B54901" w:rsidRDefault="00B54901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5490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180E0" w14:textId="77777777" w:rsidR="00B60F14" w:rsidRDefault="00B60F14">
      <w:pPr>
        <w:spacing w:line="240" w:lineRule="auto"/>
      </w:pPr>
      <w:r>
        <w:separator/>
      </w:r>
    </w:p>
  </w:endnote>
  <w:endnote w:type="continuationSeparator" w:id="0">
    <w:p w14:paraId="1D9319B4" w14:textId="77777777" w:rsidR="00B60F14" w:rsidRDefault="00B60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1E1F" w14:textId="77777777" w:rsidR="00B54901" w:rsidRDefault="00B54901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F5CAB" w14:textId="77777777" w:rsidR="00B54901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 wp14:anchorId="10B85D4D" wp14:editId="0BDFFD89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a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35A2D208" w14:textId="77777777" w:rsidR="00B54901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42604DF1" w14:textId="254DC468" w:rsidR="00B54901" w:rsidRDefault="00000000" w:rsidP="007670B8">
    <w:pPr>
      <w:adjustRightInd w:val="0"/>
      <w:snapToGrid w:val="0"/>
      <w:spacing w:before="240" w:line="260" w:lineRule="atLeast"/>
      <w:ind w:left="3780" w:hangingChars="1800" w:hanging="3780"/>
    </w:pPr>
    <w:r>
      <w:rPr>
        <w:noProof/>
      </w:rPr>
      <w:drawing>
        <wp:inline distT="0" distB="0" distL="114300" distR="114300" wp14:anchorId="2B0E2AD7" wp14:editId="598E4B2D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 w:rsidR="007670B8">
      <w:rPr>
        <w:rFonts w:hint="eastAsia"/>
        <w:b/>
        <w:bCs/>
        <w:sz w:val="16"/>
        <w:szCs w:val="16"/>
      </w:rPr>
      <w:t xml:space="preserve">               </w:t>
    </w:r>
    <w:hyperlink r:id="rId4" w:history="1">
      <w:r w:rsidR="007670B8" w:rsidRPr="007670B8">
        <w:rPr>
          <w:rStyle w:val="aa"/>
        </w:rPr>
        <w:t>https://www.oaepublish.com/jcmt</w:t>
      </w:r>
    </w:hyperlink>
  </w:p>
  <w:p w14:paraId="039AEE39" w14:textId="77777777" w:rsidR="00B54901" w:rsidRDefault="00B54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D9724" w14:textId="77777777" w:rsidR="00B60F14" w:rsidRDefault="00B60F14">
      <w:pPr>
        <w:spacing w:after="0"/>
      </w:pPr>
      <w:r>
        <w:separator/>
      </w:r>
    </w:p>
  </w:footnote>
  <w:footnote w:type="continuationSeparator" w:id="0">
    <w:p w14:paraId="47B57F69" w14:textId="77777777" w:rsidR="00B60F14" w:rsidRDefault="00B60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4CB7E" w14:textId="77777777" w:rsidR="00B54901" w:rsidRDefault="00000000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J Cancer Metastasis Treat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http://dx.doi.org/10.20517/2394-4722.xxxx.xx</w:t>
    </w:r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C9EA" w14:textId="77777777" w:rsidR="00B54901" w:rsidRDefault="00000000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J Cancer Metastasis Treat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http://dx.doi.org/10.20517/2394-4722.xxxx.xx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04AE" w14:textId="77777777" w:rsidR="00B54901" w:rsidRDefault="00000000">
    <w:pPr>
      <w:pStyle w:val="a5"/>
    </w:pPr>
    <w:bookmarkStart w:id="3" w:name="OLE_LINK5"/>
    <w:r>
      <w:rPr>
        <w:noProof/>
      </w:rPr>
      <w:drawing>
        <wp:anchor distT="0" distB="0" distL="114300" distR="114300" simplePos="0" relativeHeight="251659264" behindDoc="1" locked="0" layoutInCell="1" allowOverlap="1" wp14:anchorId="66C8F7AC" wp14:editId="46D266A3">
          <wp:simplePos x="0" y="0"/>
          <wp:positionH relativeFrom="column">
            <wp:posOffset>3495040</wp:posOffset>
          </wp:positionH>
          <wp:positionV relativeFrom="paragraph">
            <wp:posOffset>8255</wp:posOffset>
          </wp:positionV>
          <wp:extent cx="1894840" cy="326390"/>
          <wp:effectExtent l="0" t="0" r="29210" b="0"/>
          <wp:wrapTight wrapText="bothSides">
            <wp:wrapPolygon edited="0">
              <wp:start x="6298" y="2521"/>
              <wp:lineTo x="869" y="10086"/>
              <wp:lineTo x="0" y="12607"/>
              <wp:lineTo x="0" y="20171"/>
              <wp:lineTo x="21064" y="20171"/>
              <wp:lineTo x="21282" y="5043"/>
              <wp:lineTo x="20413" y="2521"/>
              <wp:lineTo x="16287" y="2521"/>
              <wp:lineTo x="6298" y="2521"/>
            </wp:wrapPolygon>
          </wp:wrapTight>
          <wp:docPr id="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/>
                  <pic:cNvPicPr>
                    <a:picLocks noChangeAspect="1"/>
                  </pic:cNvPicPr>
                </pic:nvPicPr>
                <pic:blipFill>
                  <a:blip r:embed="rId1"/>
                  <a:srcRect l="54927"/>
                  <a:stretch>
                    <a:fillRect/>
                  </a:stretch>
                </pic:blipFill>
                <pic:spPr>
                  <a:xfrm>
                    <a:off x="0" y="0"/>
                    <a:ext cx="1894840" cy="326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J Cancer Metastasis Treat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ascii="Times New Roman" w:hAnsi="Times New Roman" w:cs="Times New Roman" w:hint="eastAsia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10.20517/2394-4722.xxxx.xx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95397489">
    <w:abstractNumId w:val="0"/>
  </w:num>
  <w:num w:numId="2" w16cid:durableId="69423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3148F5"/>
    <w:rsid w:val="00331E76"/>
    <w:rsid w:val="003608FF"/>
    <w:rsid w:val="003B627D"/>
    <w:rsid w:val="00423880"/>
    <w:rsid w:val="00497675"/>
    <w:rsid w:val="004F52CE"/>
    <w:rsid w:val="005570D9"/>
    <w:rsid w:val="00637595"/>
    <w:rsid w:val="007670B8"/>
    <w:rsid w:val="007767CD"/>
    <w:rsid w:val="007D1FD5"/>
    <w:rsid w:val="008075EB"/>
    <w:rsid w:val="008308F1"/>
    <w:rsid w:val="00842C21"/>
    <w:rsid w:val="008A495C"/>
    <w:rsid w:val="00921419"/>
    <w:rsid w:val="009E057A"/>
    <w:rsid w:val="00A37A37"/>
    <w:rsid w:val="00B42AC5"/>
    <w:rsid w:val="00B54901"/>
    <w:rsid w:val="00B60F14"/>
    <w:rsid w:val="00B74EF5"/>
    <w:rsid w:val="00BB3538"/>
    <w:rsid w:val="00C5076C"/>
    <w:rsid w:val="00C6365E"/>
    <w:rsid w:val="00CA2500"/>
    <w:rsid w:val="00CD2CD5"/>
    <w:rsid w:val="00D00489"/>
    <w:rsid w:val="00D16246"/>
    <w:rsid w:val="00DF5C43"/>
    <w:rsid w:val="00E31605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A4324B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020D4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571056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21ABD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EF0E59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6D4598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A4982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CD726E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C77AAC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63D49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08CF"/>
  <w15:docId w15:val="{D9CD4C57-4FBC-412F-B3F9-BBB22DB6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lin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after="20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  <w:spacing w:after="200" w:line="276" w:lineRule="auto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 w:after="200" w:line="276" w:lineRule="auto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spacing w:after="200" w:line="276" w:lineRule="auto"/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after="200" w:line="276" w:lineRule="auto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after="200"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6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2.bg.am.poznan.pl/czasopisma/medicus.php?lang=e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ditorialoffice@jcmtjournal.com" TargetMode="Externa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nlm.nih.gov/bsd/uniform_requirements.html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fda.gov/NewsEvents/Newsroom/PressAnnouncements/ucm574058.ht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5.emf"/><Relationship Id="rId4" Type="http://schemas.openxmlformats.org/officeDocument/2006/relationships/hyperlink" Target="https://www.oaepublish.com/jcm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49-4823-AE21-3F4AE5ABBD9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449-4823-AE21-3F4AE5ABBD9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449-4823-AE21-3F4AE5ABB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820800"/>
        <c:axId val="230688448"/>
      </c:barChart>
      <c:catAx>
        <c:axId val="23182080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688448"/>
        <c:crosses val="autoZero"/>
        <c:auto val="1"/>
        <c:lblAlgn val="ctr"/>
        <c:lblOffset val="100"/>
        <c:tickLblSkip val="1"/>
        <c:noMultiLvlLbl val="0"/>
      </c:catAx>
      <c:valAx>
        <c:axId val="23068844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182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7</cp:revision>
  <dcterms:created xsi:type="dcterms:W3CDTF">2014-10-29T12:08:00Z</dcterms:created>
  <dcterms:modified xsi:type="dcterms:W3CDTF">2024-09-04T06:17:00Z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9487F144CFAB4B699082B0E585D22814_12</vt:lpwstr>
  </property>
</Properties>
</file>