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8EE2D">
      <w:pPr>
        <w:adjustRightInd w:val="0"/>
        <w:snapToGrid w:val="0"/>
        <w:spacing w:before="312" w:beforeLines="100"/>
        <w:rPr>
          <w:rFonts w:ascii="Times New Roman" w:hAnsi="Times New Roman" w:cs="Times New Roman"/>
        </w:rPr>
      </w:pPr>
      <w:r>
        <w:rPr>
          <w:rFonts w:hint="eastAsia" w:ascii="Times New Roman" w:hAnsi="Times New Roman" w:cs="Times New Roman"/>
          <w:b/>
          <w:bCs/>
        </w:rPr>
        <w:t>Opinion</w:t>
      </w:r>
    </w:p>
    <w:p w14:paraId="3DE5FEAD">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3B6813E1">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2CF8132">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0D9C2892">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3ACD0E81">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67B23DCF">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BFA0AF6">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02835444">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03446077">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p w14:paraId="71356BB4">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2971CB41">
      <w:pPr>
        <w:pStyle w:val="23"/>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hint="eastAsia" w:ascii="Times New Roman" w:hAnsi="Times New Roman"/>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hint="eastAsia" w:ascii="Times New Roman" w:hAnsi="Times New Roman"/>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"mailto:editorialoffice@jcmtjournal.com" </w:instrText>
      </w:r>
      <w:r>
        <w:fldChar w:fldCharType="separate"/>
      </w:r>
      <w:r>
        <w:rPr>
          <w:rStyle w:val="13"/>
          <w:rFonts w:hint="eastAsia" w:ascii="Times New Roman" w:hAnsi="Times New Roman" w:eastAsia="宋体"/>
          <w:b/>
          <w:bCs/>
          <w:i/>
          <w:color w:val="808080" w:themeColor="background1" w:themeShade="80"/>
          <w:sz w:val="18"/>
          <w:szCs w:val="18"/>
        </w:rPr>
        <w:t>editorial office</w:t>
      </w:r>
      <w:r>
        <w:rPr>
          <w:rStyle w:val="13"/>
          <w:rFonts w:hint="eastAsia" w:ascii="Times New Roman" w:hAnsi="Times New Roman" w:eastAsia="宋体"/>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0D8F39FC">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AB022F5">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6239E380">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61D97ED0">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6FE2DF2E">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6D98DDF2">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1C877F08">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14:paraId="152121F6">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33209BDB">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0507F0F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opinion in detail. It may contains authors</w:t>
      </w:r>
      <w:r>
        <w:rPr>
          <w:rFonts w:ascii="Times New Roman" w:hAnsi="Times New Roman" w:cs="Times New Roman"/>
          <w:sz w:val="20"/>
          <w:szCs w:val="20"/>
        </w:rPr>
        <w:t>’</w:t>
      </w:r>
      <w:r>
        <w:rPr>
          <w:rFonts w:hint="eastAsia" w:ascii="Times New Roman" w:hAnsi="Times New Roman" w:cs="Times New Roman"/>
          <w:sz w:val="20"/>
          <w:szCs w:val="20"/>
        </w:rPr>
        <w:t xml:space="preserve"> detailed opinions on the methods applied to specific experiments, analysis on research findings or interpretation of a concept in a study, comment on advantages/disadvantages of a theory/hypothesis, </w:t>
      </w:r>
      <w:r>
        <w:rPr>
          <w:rFonts w:hint="eastAsia" w:ascii="Times New Roman" w:hAnsi="Times New Roman" w:cs="Times New Roman"/>
          <w:i/>
          <w:iCs/>
          <w:sz w:val="20"/>
          <w:szCs w:val="20"/>
        </w:rPr>
        <w:t>etc</w:t>
      </w:r>
      <w:r>
        <w:rPr>
          <w:rFonts w:hint="eastAsia" w:ascii="Times New Roman" w:hAnsi="Times New Roman" w:cs="Times New Roman"/>
          <w:sz w:val="20"/>
          <w:szCs w:val="20"/>
        </w:rPr>
        <w:t>. Evidences that support the opinions should be given in this part.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1CB3BD0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366756BD">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3577560B">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3E2CC57A">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56A0BF39">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FD4C8BE">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5126157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"http://www.oaepublish.com/files/tpl/jcmt/Template_for_Supplementary_Material_jcmt.docx" </w:instrText>
      </w:r>
      <w:r>
        <w:fldChar w:fldCharType="separate"/>
      </w:r>
      <w:r>
        <w:rPr>
          <w:rStyle w:val="13"/>
          <w:rFonts w:hint="eastAsia" w:ascii="Times New Roman" w:hAnsi="Times New Roman" w:cs="Times New Roman"/>
          <w:b/>
          <w:bCs/>
          <w:sz w:val="20"/>
          <w:szCs w:val="20"/>
        </w:rPr>
        <w:t>Supplementary Material Template</w:t>
      </w:r>
      <w:r>
        <w:rPr>
          <w:rStyle w:val="13"/>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3D12343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E694451">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276ED5AF">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62085099">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1"/>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51609AA2">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408D5FF">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12067E5E">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E2A90D3">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6202BCBA">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1E0F0FC0">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42DC0CF8">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EEA663B">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200B7298">
        <w:trPr>
          <w:trHeight w:val="394" w:hRule="atLeast"/>
          <w:jc w:val="center"/>
        </w:trPr>
        <w:tc>
          <w:tcPr>
            <w:tcW w:w="1533" w:type="dxa"/>
            <w:vAlign w:val="center"/>
          </w:tcPr>
          <w:p w14:paraId="02191159">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16BB244E">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246C74D2">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6FCA5468">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40151BDB">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04DA86FD">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4E795700">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5516FC9C">
        <w:trPr>
          <w:trHeight w:val="399" w:hRule="atLeast"/>
          <w:jc w:val="center"/>
        </w:trPr>
        <w:tc>
          <w:tcPr>
            <w:tcW w:w="1533" w:type="dxa"/>
            <w:vAlign w:val="center"/>
          </w:tcPr>
          <w:p w14:paraId="7237F1A8">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673E9BF6">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67F215CA">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4D3AD607">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653196BE">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3A70ECD0">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1939AFB9">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7579D5A9">
        <w:trPr>
          <w:trHeight w:val="399" w:hRule="atLeast"/>
          <w:jc w:val="center"/>
        </w:trPr>
        <w:tc>
          <w:tcPr>
            <w:tcW w:w="1533" w:type="dxa"/>
            <w:vAlign w:val="center"/>
          </w:tcPr>
          <w:p w14:paraId="6DE5D38C">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24F18AC3">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616519B4">
            <w:pPr>
              <w:pStyle w:val="20"/>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7E97F770">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26FC76DB">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3E686A14">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46BA55C9">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5E06A5D6">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4014DCE2">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7B6A9148">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254666D">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3AEA336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45C294B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4CF0C7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61DF39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6617CBB0">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E843E6">
        <w:trPr>
          <w:jc w:val="center"/>
        </w:trPr>
        <w:tc>
          <w:tcPr>
            <w:tcW w:w="8409" w:type="dxa"/>
          </w:tcPr>
          <w:p w14:paraId="39EE103B">
            <w:pPr>
              <w:pStyle w:val="22"/>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7CF1737B">
            <w:pPr>
              <w:pStyle w:val="24"/>
              <w:spacing w:line="260" w:lineRule="atLeast"/>
              <w:jc w:val="center"/>
              <w:rPr>
                <w:rFonts w:ascii="Times New Roman" w:hAnsi="Times New Roman"/>
              </w:rPr>
            </w:pPr>
            <w:r>
              <w:rPr>
                <w:rFonts w:ascii="Times New Roman" w:hAnsi="Times New Roman"/>
              </w:rPr>
              <w:t>(1)</w:t>
            </w:r>
          </w:p>
        </w:tc>
      </w:tr>
    </w:tbl>
    <w:p w14:paraId="4A819F1A">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69C18C66">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5BA76F5">
        <w:tc>
          <w:tcPr>
            <w:tcW w:w="4422" w:type="dxa"/>
          </w:tcPr>
          <w:p w14:paraId="41340ABC">
            <w:pPr>
              <w:pStyle w:val="19"/>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48C946F">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20271A67">
            <w:pPr>
              <w:pStyle w:val="19"/>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172C9E1D">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2097B1E">
        <w:tc>
          <w:tcPr>
            <w:tcW w:w="8844" w:type="dxa"/>
            <w:gridSpan w:val="2"/>
          </w:tcPr>
          <w:p w14:paraId="7D726639">
            <w:pPr>
              <w:pStyle w:val="19"/>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C89504">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0C4FE5F">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105F5F80">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35DF74F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5895E0F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08E381E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1AFA3FA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0D69866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2455B38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06D4E59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30777C8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72F1689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32463402">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4A4611C2">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2" w:name="OLE_LINK2"/>
      <w:r>
        <w:rPr>
          <w:rFonts w:hint="eastAsia" w:ascii="Times New Roman" w:hAnsi="Times New Roman" w:cs="Times New Roman"/>
          <w:sz w:val="20"/>
          <w:szCs w:val="20"/>
        </w:rPr>
        <w:t>An attractive and interesting conclusion is always welcome.</w:t>
      </w:r>
      <w:bookmarkEnd w:id="2"/>
    </w:p>
    <w:p w14:paraId="7D2421EE">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6E369B3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3" w:name="OLE_LINK15"/>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hint="eastAsia" w:ascii="Times New Roman" w:hAnsi="Times New Roman" w:cs="Times New Roman"/>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hint="eastAsia" w:ascii="Times New Roman" w:hAnsi="Times New Roman" w:cs="Times New Roman"/>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w:t>
      </w:r>
    </w:p>
    <w:p w14:paraId="3FEDCBF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20B6E973">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4269A0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77EFA953">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3FCA7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6A4808A1">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688005E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126FE4C3">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69A7BEE4">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6353178E">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05BB7D8E">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D65AD6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60B9B0D0">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4EC11372">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013EE3A">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highlight w:val="none"/>
          <w14:textFill>
            <w14:solidFill>
              <w14:schemeClr w14:val="tx1"/>
            </w14:solidFill>
          </w14:textFill>
        </w:rPr>
      </w:pPr>
      <w:r>
        <w:rPr>
          <w:rFonts w:ascii="Times New Roman" w:hAnsi="Times New Roman" w:eastAsia="宋体" w:cs="Times New Roman"/>
          <w:b/>
          <w:bCs/>
          <w:iCs/>
          <w:color w:val="000000" w:themeColor="text1"/>
          <w:kern w:val="0"/>
          <w:sz w:val="22"/>
          <w:szCs w:val="22"/>
          <w:highlight w:val="none"/>
          <w14:textFill>
            <w14:solidFill>
              <w14:schemeClr w14:val="tx1"/>
            </w14:solidFill>
          </w14:textFill>
        </w:rPr>
        <w:t>AI and AI-assisted tools Statement</w:t>
      </w:r>
    </w:p>
    <w:p w14:paraId="77A723E6">
      <w:pPr>
        <w:widowControl/>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Authors should disclose in their manuscript the use of AI and AI-assisted technologies. Declaring the use of these technologies sup</w:t>
      </w:r>
      <w:bookmarkStart w:id="10" w:name="_GoBack"/>
      <w:bookmarkEnd w:id="10"/>
      <w:r>
        <w:rPr>
          <w:rFonts w:ascii="Times New Roman" w:hAnsi="Times New Roman" w:cs="Times New Roman"/>
          <w:color w:val="000000" w:themeColor="text1"/>
          <w:sz w:val="20"/>
          <w:szCs w:val="20"/>
          <w:highlight w:val="none"/>
          <w14:textFill>
            <w14:solidFill>
              <w14:schemeClr w14:val="tx1"/>
            </w14:solidFill>
          </w14:textFill>
        </w:rPr>
        <w:t>ports transparency and trust between authors, readers, reviewers, editors and contributors and facilitates compliance with the terms of use of the relevant tool or technology.</w:t>
      </w:r>
    </w:p>
    <w:p w14:paraId="78EA73D4">
      <w:pPr>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If the manuscript does not involve this issue, state “Not applicable</w:t>
      </w:r>
      <w:r>
        <w:rPr>
          <w:rFonts w:hint="eastAsia" w:ascii="Times New Roman" w:hAnsi="Times New Roman" w:cs="Times New Roman"/>
          <w:color w:val="000000" w:themeColor="text1"/>
          <w:sz w:val="20"/>
          <w:szCs w:val="20"/>
          <w:highlight w:val="none"/>
          <w14:textFill>
            <w14:solidFill>
              <w14:schemeClr w14:val="tx1"/>
            </w14:solidFill>
          </w14:textFill>
        </w:rPr>
        <w:t>.</w:t>
      </w:r>
      <w:r>
        <w:rPr>
          <w:rFonts w:ascii="Times New Roman" w:hAnsi="Times New Roman" w:cs="Times New Roman"/>
          <w:color w:val="000000" w:themeColor="text1"/>
          <w:sz w:val="20"/>
          <w:szCs w:val="20"/>
          <w:highlight w:val="none"/>
          <w14:textFill>
            <w14:solidFill>
              <w14:schemeClr w14:val="tx1"/>
            </w14:solidFill>
          </w14:textFill>
        </w:rPr>
        <w:t>” in this section.</w:t>
      </w:r>
    </w:p>
    <w:p w14:paraId="556A76B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7059172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4D9463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3E67CE80">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2F69DD8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C4673F2">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55DAC90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455F01A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68CE99D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58F1905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463B70B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7160C44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285775F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3E5492C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D8F387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0A7680E8">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w:t>
      </w:r>
      <w:r>
        <w:rPr>
          <w:rFonts w:hint="eastAsia" w:ascii="Times New Roman" w:hAnsi="Times New Roman" w:eastAsia="宋体" w:cs="Times New Roman"/>
          <w:color w:val="000000"/>
          <w:kern w:val="0"/>
          <w:sz w:val="20"/>
          <w:szCs w:val="20"/>
        </w:rPr>
        <w:t>02</w:t>
      </w:r>
      <w:r>
        <w:rPr>
          <w:rFonts w:hint="default" w:ascii="Times New Roman" w:hAnsi="Times New Roman" w:eastAsia="宋体" w:cs="Times New Roman"/>
          <w:color w:val="000000"/>
          <w:kern w:val="0"/>
          <w:sz w:val="20"/>
          <w:szCs w:val="20"/>
          <w:lang w:val="en-US"/>
        </w:rPr>
        <w:t>6</w:t>
      </w:r>
      <w:r>
        <w:rPr>
          <w:rFonts w:ascii="Times New Roman" w:hAnsi="Times New Roman" w:eastAsia="宋体" w:cs="Times New Roman"/>
          <w:color w:val="000000"/>
          <w:kern w:val="0"/>
          <w:sz w:val="20"/>
          <w:szCs w:val="20"/>
        </w:rPr>
        <w:t>.</w:t>
      </w:r>
    </w:p>
    <w:p w14:paraId="7F3BFCEC">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3B62F63A">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rPr>
        <w:t xml:space="preserve"> </w:t>
      </w:r>
      <w:r>
        <w:rPr>
          <w:rFonts w:eastAsia="宋体" w:cstheme="minorHAnsi"/>
          <w:color w:val="000000"/>
          <w:kern w:val="0"/>
          <w:sz w:val="19"/>
          <w:szCs w:val="19"/>
        </w:rPr>
        <w:t>are cited</w:t>
      </w:r>
      <w:r>
        <w:rPr>
          <w:rFonts w:hint="eastAsia" w:eastAsia="宋体" w:cstheme="minorHAnsi"/>
          <w:color w:val="000000"/>
          <w:kern w:val="0"/>
          <w:sz w:val="19"/>
          <w:szCs w:val="19"/>
        </w:rPr>
        <w:t xml:space="preserve"> </w:t>
      </w:r>
      <w:r>
        <w:rPr>
          <w:rFonts w:eastAsia="宋体" w:cstheme="minorHAnsi"/>
          <w:color w:val="000000"/>
          <w:kern w:val="0"/>
          <w:sz w:val="19"/>
          <w:szCs w:val="19"/>
        </w:rPr>
        <w:t xml:space="preserve">thereafter. Only the first </w:t>
      </w:r>
      <w:r>
        <w:rPr>
          <w:rFonts w:hint="eastAsia" w:eastAsia="宋体" w:cstheme="minorHAnsi"/>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hint="eastAsia" w:eastAsia="宋体" w:cstheme="minorHAnsi"/>
          <w:color w:val="000000"/>
          <w:kern w:val="0"/>
          <w:sz w:val="19"/>
          <w:szCs w:val="19"/>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rPr>
        <w:t xml:space="preserve"> </w:t>
      </w:r>
      <w:r>
        <w:fldChar w:fldCharType="begin"/>
      </w:r>
      <w:r>
        <w:instrText xml:space="preserve"> HYPERLINK "http://www2.bg.am.poznan.pl/czasopisma/medicus.php?lang=eng" </w:instrText>
      </w:r>
      <w:r>
        <w:fldChar w:fldCharType="separate"/>
      </w:r>
      <w:r>
        <w:rPr>
          <w:rFonts w:eastAsia="宋体" w:cstheme="minorHAnsi"/>
          <w:color w:val="73A5C2"/>
          <w:kern w:val="0"/>
          <w:sz w:val="19"/>
          <w:szCs w:val="19"/>
        </w:rPr>
        <w:t>Ind</w:t>
      </w:r>
      <w:r>
        <w:rPr>
          <w:rFonts w:eastAsia="宋体" w:cstheme="minorHAnsi"/>
          <w:color w:val="7BA4DB"/>
          <w:kern w:val="0"/>
          <w:sz w:val="19"/>
          <w:szCs w:val="19"/>
        </w:rPr>
        <w:t>ex Medicus</w:t>
      </w:r>
      <w:r>
        <w:rPr>
          <w:rFonts w:eastAsia="宋体" w:cstheme="minorHAnsi"/>
          <w:color w:val="7BA4DB"/>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rPr>
        <w:t xml:space="preserve"> 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tbl>
      <w:tblPr>
        <w:tblStyle w:val="8"/>
        <w:tblW w:w="4899" w:type="pct"/>
        <w:jc w:val="center"/>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Layout w:type="fixed"/>
        <w:tblCellMar>
          <w:top w:w="15" w:type="dxa"/>
          <w:left w:w="15" w:type="dxa"/>
          <w:bottom w:w="15" w:type="dxa"/>
          <w:right w:w="15" w:type="dxa"/>
        </w:tblCellMar>
      </w:tblPr>
      <w:tblGrid>
        <w:gridCol w:w="1556"/>
        <w:gridCol w:w="7211"/>
      </w:tblGrid>
      <w:tr w14:paraId="61D9186E">
        <w:trPr>
          <w:jc w:val="center"/>
        </w:trPr>
        <w:tc>
          <w:tcPr>
            <w:tcW w:w="1556" w:type="dxa"/>
            <w:shd w:val="clear" w:color="auto" w:fill="E7EDF0"/>
            <w:tcMar>
              <w:top w:w="63" w:type="dxa"/>
              <w:left w:w="250" w:type="dxa"/>
              <w:bottom w:w="63" w:type="dxa"/>
              <w:right w:w="250" w:type="dxa"/>
            </w:tcMar>
            <w:vAlign w:val="center"/>
          </w:tcPr>
          <w:p w14:paraId="5E8CD8B9">
            <w:pPr>
              <w:widowControl/>
              <w:spacing w:line="8" w:lineRule="atLeast"/>
              <w:jc w:val="center"/>
              <w:rPr>
                <w:rFonts w:eastAsia="宋体" w:cstheme="minorHAnsi"/>
                <w:b/>
                <w:bCs/>
                <w:kern w:val="0"/>
                <w:sz w:val="19"/>
                <w:szCs w:val="19"/>
              </w:rPr>
            </w:pPr>
            <w:bookmarkStart w:id="8" w:name="OLE_LINK7"/>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5C632040">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14:paraId="41F03CEC">
        <w:trPr>
          <w:jc w:val="center"/>
        </w:trPr>
        <w:tc>
          <w:tcPr>
            <w:tcW w:w="1556" w:type="dxa"/>
            <w:shd w:val="clear" w:color="auto" w:fill="auto"/>
            <w:tcMar>
              <w:top w:w="63" w:type="dxa"/>
              <w:left w:w="250" w:type="dxa"/>
              <w:bottom w:w="63" w:type="dxa"/>
              <w:right w:w="250" w:type="dxa"/>
            </w:tcMar>
            <w:vAlign w:val="center"/>
          </w:tcPr>
          <w:p w14:paraId="608B245A">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54FE7C37">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Skelly JM, Anderson SJ, et al. Effect of occult metastases on survival in node-negative breast cancer</w:t>
            </w:r>
            <w:r>
              <w:rPr>
                <w:rFonts w:eastAsia="宋体" w:cstheme="minorHAnsi"/>
                <w:i/>
                <w:iCs/>
                <w:kern w:val="0"/>
                <w:sz w:val="19"/>
                <w:szCs w:val="19"/>
              </w:rPr>
              <w:t>. N Engl J Med</w:t>
            </w:r>
            <w:r>
              <w:rPr>
                <w:rFonts w:hint="eastAsia" w:eastAsia="宋体" w:cstheme="minorHAnsi"/>
                <w:kern w:val="0"/>
                <w:sz w:val="19"/>
                <w:szCs w:val="19"/>
              </w:rPr>
              <w:t xml:space="preserve">. </w:t>
            </w:r>
            <w:r>
              <w:rPr>
                <w:rFonts w:eastAsia="宋体" w:cstheme="minorHAnsi"/>
                <w:kern w:val="0"/>
                <w:sz w:val="19"/>
                <w:szCs w:val="19"/>
              </w:rPr>
              <w:t>2011;364:412-21. [PMID: 21247310 DOI: 10.1056/NEJMoa1008108]</w:t>
            </w:r>
          </w:p>
        </w:tc>
      </w:tr>
      <w:tr w14:paraId="6ACCF2A0">
        <w:trPr>
          <w:jc w:val="center"/>
        </w:trPr>
        <w:tc>
          <w:tcPr>
            <w:tcW w:w="1556" w:type="dxa"/>
            <w:shd w:val="clear" w:color="auto" w:fill="auto"/>
            <w:tcMar>
              <w:top w:w="63" w:type="dxa"/>
              <w:left w:w="250" w:type="dxa"/>
              <w:bottom w:w="63" w:type="dxa"/>
              <w:right w:w="250" w:type="dxa"/>
            </w:tcMar>
            <w:vAlign w:val="center"/>
          </w:tcPr>
          <w:p w14:paraId="385DF5A3">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07A54822">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hint="eastAsia" w:eastAsia="宋体" w:cstheme="minorHAnsi"/>
                <w:i/>
                <w:iCs/>
                <w:color w:val="000000"/>
                <w:kern w:val="0"/>
                <w:sz w:val="19"/>
                <w:szCs w:val="19"/>
              </w:rPr>
              <w:t>.</w:t>
            </w:r>
            <w:r>
              <w:rPr>
                <w:rFonts w:eastAsia="宋体" w:cstheme="minorHAnsi"/>
                <w:color w:val="000000"/>
                <w:kern w:val="0"/>
                <w:sz w:val="19"/>
                <w:szCs w:val="19"/>
              </w:rPr>
              <w:t xml:space="preserve"> 2002;40:679-86. [PMID: 12411462]</w:t>
            </w:r>
          </w:p>
        </w:tc>
      </w:tr>
      <w:tr w14:paraId="3DA85B3D">
        <w:trPr>
          <w:jc w:val="center"/>
        </w:trPr>
        <w:tc>
          <w:tcPr>
            <w:tcW w:w="1556" w:type="dxa"/>
            <w:shd w:val="clear" w:color="auto" w:fill="auto"/>
            <w:tcMar>
              <w:top w:w="63" w:type="dxa"/>
              <w:left w:w="250" w:type="dxa"/>
              <w:bottom w:w="63" w:type="dxa"/>
              <w:right w:w="250" w:type="dxa"/>
            </w:tcMar>
            <w:vAlign w:val="center"/>
          </w:tcPr>
          <w:p w14:paraId="5384DFC1">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2B88E43A">
            <w:pPr>
              <w:widowControl/>
              <w:spacing w:line="8" w:lineRule="atLeast"/>
              <w:jc w:val="left"/>
              <w:rPr>
                <w:rFonts w:eastAsia="宋体" w:cstheme="minorHAnsi"/>
                <w:kern w:val="0"/>
                <w:sz w:val="19"/>
                <w:szCs w:val="19"/>
              </w:rPr>
            </w:pPr>
            <w:r>
              <w:rPr>
                <w:rFonts w:eastAsia="宋体" w:cstheme="minorHAnsi"/>
                <w:kern w:val="0"/>
                <w:sz w:val="19"/>
                <w:szCs w:val="19"/>
              </w:rPr>
              <w:t xml:space="preserve">Vallancien G, Emberton M, Harving N, van Moorselaar RJ; Alf-One Study Group. Sexual dysfunction in 1,274 European men suffering from lower urinary tract symptoms. </w:t>
            </w:r>
            <w:r>
              <w:rPr>
                <w:rFonts w:eastAsia="宋体" w:cstheme="minorHAnsi"/>
                <w:i/>
                <w:iCs/>
                <w:kern w:val="0"/>
                <w:sz w:val="19"/>
                <w:szCs w:val="19"/>
              </w:rPr>
              <w:t>J Urol</w:t>
            </w:r>
            <w:r>
              <w:rPr>
                <w:rFonts w:hint="eastAsia" w:eastAsia="宋体" w:cstheme="minorHAnsi"/>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hint="eastAsia" w:eastAsia="宋体" w:cstheme="minorHAnsi"/>
                <w:kern w:val="0"/>
                <w:sz w:val="19"/>
                <w:szCs w:val="19"/>
              </w:rPr>
              <w:t xml:space="preserve"> </w:t>
            </w:r>
            <w:r>
              <w:rPr>
                <w:rFonts w:hint="eastAsia" w:eastAsia="宋体" w:cstheme="minorHAnsi"/>
                <w:color w:val="000000"/>
                <w:kern w:val="0"/>
                <w:sz w:val="19"/>
                <w:szCs w:val="19"/>
              </w:rPr>
              <w:t>[</w:t>
            </w:r>
            <w:r>
              <w:rPr>
                <w:rFonts w:eastAsia="宋体" w:cstheme="minorHAnsi"/>
                <w:color w:val="000000"/>
                <w:kern w:val="0"/>
                <w:sz w:val="19"/>
                <w:szCs w:val="19"/>
              </w:rPr>
              <w:t>PMID: 12771764 DOI: 10.1097/01.ju.0000067940.76090.73</w:t>
            </w:r>
            <w:r>
              <w:rPr>
                <w:rFonts w:hint="eastAsia" w:eastAsia="宋体" w:cstheme="minorHAnsi"/>
                <w:color w:val="000000"/>
                <w:kern w:val="0"/>
                <w:sz w:val="19"/>
                <w:szCs w:val="19"/>
              </w:rPr>
              <w:t>]</w:t>
            </w:r>
          </w:p>
        </w:tc>
      </w:tr>
      <w:tr w14:paraId="190CC438">
        <w:trPr>
          <w:jc w:val="center"/>
        </w:trPr>
        <w:tc>
          <w:tcPr>
            <w:tcW w:w="1556" w:type="dxa"/>
            <w:shd w:val="clear" w:color="auto" w:fill="auto"/>
            <w:tcMar>
              <w:top w:w="63" w:type="dxa"/>
              <w:left w:w="250" w:type="dxa"/>
              <w:bottom w:w="63" w:type="dxa"/>
              <w:right w:w="250" w:type="dxa"/>
            </w:tcMar>
            <w:vAlign w:val="center"/>
          </w:tcPr>
          <w:p w14:paraId="7EC108A6">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4E75D22C">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hint="eastAsia" w:eastAsia="宋体" w:cstheme="minorHAnsi"/>
                <w:kern w:val="0"/>
                <w:sz w:val="19"/>
                <w:szCs w:val="19"/>
              </w:rPr>
              <w:t xml:space="preserve"> </w:t>
            </w:r>
            <w:r>
              <w:rPr>
                <w:rFonts w:eastAsia="宋体" w:cstheme="minorHAnsi"/>
                <w:i/>
                <w:kern w:val="0"/>
                <w:sz w:val="19"/>
                <w:szCs w:val="19"/>
              </w:rPr>
              <w:t>J Appl Clin Pediatr</w:t>
            </w:r>
            <w:r>
              <w:rPr>
                <w:rFonts w:hint="eastAsia" w:eastAsia="宋体" w:cstheme="minorHAnsi"/>
                <w:i/>
                <w:kern w:val="0"/>
                <w:sz w:val="19"/>
                <w:szCs w:val="19"/>
              </w:rPr>
              <w:t>.</w:t>
            </w:r>
            <w:r>
              <w:rPr>
                <w:rFonts w:hint="eastAsia" w:eastAsia="宋体" w:cstheme="minorHAnsi"/>
                <w:i/>
                <w:iCs/>
                <w:kern w:val="0"/>
                <w:sz w:val="19"/>
                <w:szCs w:val="19"/>
              </w:rPr>
              <w:t xml:space="preserve"> </w:t>
            </w:r>
            <w:r>
              <w:rPr>
                <w:rFonts w:eastAsia="宋体" w:cstheme="minorHAnsi"/>
                <w:kern w:val="0"/>
                <w:sz w:val="19"/>
                <w:szCs w:val="19"/>
              </w:rPr>
              <w:t>2012;27:1903-7. (in Chinese)</w:t>
            </w:r>
          </w:p>
        </w:tc>
      </w:tr>
      <w:tr w14:paraId="6A75D56E">
        <w:trPr>
          <w:jc w:val="center"/>
        </w:trPr>
        <w:tc>
          <w:tcPr>
            <w:tcW w:w="1556" w:type="dxa"/>
            <w:shd w:val="clear" w:color="auto" w:fill="auto"/>
            <w:tcMar>
              <w:top w:w="63" w:type="dxa"/>
              <w:left w:w="250" w:type="dxa"/>
              <w:bottom w:w="63" w:type="dxa"/>
              <w:right w:w="250" w:type="dxa"/>
            </w:tcMar>
            <w:vAlign w:val="center"/>
          </w:tcPr>
          <w:p w14:paraId="19D050D8">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67BA204B">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Odibo AO. Falling stillbirth and neonatal mortality rates in twin gestation: not a reason for complacency. </w:t>
            </w:r>
            <w:r>
              <w:rPr>
                <w:rFonts w:eastAsia="宋体" w:cstheme="minorHAnsi"/>
                <w:i/>
                <w:iCs/>
                <w:color w:val="000000"/>
                <w:kern w:val="0"/>
                <w:sz w:val="19"/>
                <w:szCs w:val="19"/>
              </w:rPr>
              <w:t>BJOG</w:t>
            </w:r>
            <w:r>
              <w:rPr>
                <w:rFonts w:hint="eastAsia" w:eastAsia="宋体" w:cstheme="minorHAnsi"/>
                <w:color w:val="000000"/>
                <w:kern w:val="0"/>
                <w:sz w:val="19"/>
                <w:szCs w:val="19"/>
              </w:rPr>
              <w:t>.</w:t>
            </w:r>
            <w:r>
              <w:rPr>
                <w:rFonts w:eastAsia="宋体" w:cstheme="minorHAnsi"/>
                <w:color w:val="000000"/>
                <w:kern w:val="0"/>
                <w:sz w:val="19"/>
                <w:szCs w:val="19"/>
              </w:rPr>
              <w:t xml:space="preserve"> 2018; Epub ahead of print [PMID: 30461178 DOI: 10.1111/1471-0528.15541]</w:t>
            </w:r>
          </w:p>
        </w:tc>
      </w:tr>
      <w:tr w14:paraId="085FE127">
        <w:trPr>
          <w:jc w:val="center"/>
        </w:trPr>
        <w:tc>
          <w:tcPr>
            <w:tcW w:w="1556" w:type="dxa"/>
            <w:shd w:val="clear" w:color="auto" w:fill="auto"/>
            <w:tcMar>
              <w:top w:w="63" w:type="dxa"/>
              <w:left w:w="250" w:type="dxa"/>
              <w:bottom w:w="63" w:type="dxa"/>
              <w:right w:w="250" w:type="dxa"/>
            </w:tcMar>
            <w:vAlign w:val="center"/>
          </w:tcPr>
          <w:p w14:paraId="4589C449">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513C10DD">
            <w:pPr>
              <w:widowControl/>
              <w:spacing w:line="8" w:lineRule="atLeast"/>
              <w:jc w:val="left"/>
              <w:rPr>
                <w:rFonts w:eastAsia="宋体" w:cstheme="minorHAnsi"/>
                <w:kern w:val="0"/>
                <w:sz w:val="19"/>
                <w:szCs w:val="19"/>
              </w:rPr>
            </w:pPr>
            <w:r>
              <w:rPr>
                <w:rFonts w:eastAsia="宋体" w:cstheme="minorHAnsi"/>
                <w:kern w:val="0"/>
                <w:sz w:val="19"/>
                <w:szCs w:val="19"/>
              </w:rPr>
              <w:t>Sherlock S, Dooley J. Diseases of the liver and billiary system. 9th ed. Oxford: Blackwell Sci Pub; 1993. p</w:t>
            </w:r>
            <w:r>
              <w:rPr>
                <w:rFonts w:hint="eastAsia" w:eastAsia="宋体" w:cstheme="minorHAnsi"/>
                <w:kern w:val="0"/>
                <w:sz w:val="19"/>
                <w:szCs w:val="19"/>
              </w:rPr>
              <w:t>p</w:t>
            </w:r>
            <w:r>
              <w:rPr>
                <w:rFonts w:eastAsia="宋体" w:cstheme="minorHAnsi"/>
                <w:kern w:val="0"/>
                <w:sz w:val="19"/>
                <w:szCs w:val="19"/>
              </w:rPr>
              <w:t>. 258-96.</w:t>
            </w:r>
          </w:p>
        </w:tc>
      </w:tr>
      <w:tr w14:paraId="1455C7F4">
        <w:trPr>
          <w:jc w:val="center"/>
        </w:trPr>
        <w:tc>
          <w:tcPr>
            <w:tcW w:w="1556" w:type="dxa"/>
            <w:shd w:val="clear" w:color="auto" w:fill="auto"/>
            <w:tcMar>
              <w:top w:w="63" w:type="dxa"/>
              <w:left w:w="250" w:type="dxa"/>
              <w:bottom w:w="63" w:type="dxa"/>
              <w:right w:w="250" w:type="dxa"/>
            </w:tcMar>
            <w:vAlign w:val="center"/>
          </w:tcPr>
          <w:p w14:paraId="614D5A1A">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hint="eastAsia" w:eastAsia="宋体" w:cstheme="minorHAnsi"/>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6F86757A">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hint="eastAsia" w:eastAsia="宋体" w:cstheme="minorHAnsi"/>
                <w:kern w:val="0"/>
                <w:sz w:val="19"/>
                <w:szCs w:val="19"/>
              </w:rPr>
              <w:t>p</w:t>
            </w:r>
            <w:r>
              <w:rPr>
                <w:rFonts w:eastAsia="宋体" w:cstheme="minorHAnsi"/>
                <w:kern w:val="0"/>
                <w:sz w:val="19"/>
                <w:szCs w:val="19"/>
              </w:rPr>
              <w:t>. 93-113.</w:t>
            </w:r>
          </w:p>
        </w:tc>
      </w:tr>
      <w:tr w14:paraId="3A071ABE">
        <w:trPr>
          <w:jc w:val="center"/>
        </w:trPr>
        <w:tc>
          <w:tcPr>
            <w:tcW w:w="1556" w:type="dxa"/>
            <w:shd w:val="clear" w:color="auto" w:fill="auto"/>
            <w:tcMar>
              <w:top w:w="63" w:type="dxa"/>
              <w:left w:w="250" w:type="dxa"/>
              <w:bottom w:w="63" w:type="dxa"/>
              <w:right w:w="250" w:type="dxa"/>
            </w:tcMar>
            <w:vAlign w:val="center"/>
          </w:tcPr>
          <w:p w14:paraId="39E48E38">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1030C520">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hint="eastAsia" w:eastAsia="宋体" w:cstheme="minorHAnsi"/>
                <w:kern w:val="0"/>
                <w:sz w:val="19"/>
                <w:szCs w:val="19"/>
              </w:rPr>
              <w:t xml:space="preserve"> </w:t>
            </w:r>
            <w:r>
              <w:fldChar w:fldCharType="begin"/>
            </w:r>
            <w:r>
              <w:instrText xml:space="preserve"> HYPERLINK "https://www.fda.gov/NewsEvents/Newsroom/PressAnnouncements/ucm574058.htm" </w:instrText>
            </w:r>
            <w:r>
              <w:fldChar w:fldCharType="separate"/>
            </w:r>
            <w:r>
              <w:rPr>
                <w:rFonts w:eastAsia="宋体" w:cstheme="minorHAnsi"/>
                <w:color w:val="7BA4DB"/>
                <w:kern w:val="0"/>
                <w:sz w:val="19"/>
                <w:szCs w:val="19"/>
              </w:rPr>
              <w:t>https://www.fda.gov/NewsEvents/Newsroom/PressAnnouncements/ucm574058.htm</w:t>
            </w:r>
            <w:r>
              <w:rPr>
                <w:rFonts w:eastAsia="宋体" w:cstheme="minorHAnsi"/>
                <w:color w:val="7BA4DB"/>
                <w:kern w:val="0"/>
                <w:sz w:val="19"/>
                <w:szCs w:val="19"/>
              </w:rPr>
              <w:fldChar w:fldCharType="end"/>
            </w:r>
            <w:r>
              <w:rPr>
                <w:rFonts w:eastAsia="宋体" w:cstheme="minorHAnsi"/>
                <w:kern w:val="0"/>
                <w:sz w:val="19"/>
                <w:szCs w:val="19"/>
              </w:rPr>
              <w:t>. [Last accessed on 30 Oct 2017]</w:t>
            </w:r>
          </w:p>
        </w:tc>
      </w:tr>
      <w:tr w14:paraId="4EA758E6">
        <w:trPr>
          <w:jc w:val="center"/>
        </w:trPr>
        <w:tc>
          <w:tcPr>
            <w:tcW w:w="1556" w:type="dxa"/>
            <w:shd w:val="clear" w:color="auto" w:fill="auto"/>
            <w:tcMar>
              <w:top w:w="63" w:type="dxa"/>
              <w:left w:w="250" w:type="dxa"/>
              <w:bottom w:w="63" w:type="dxa"/>
              <w:right w:w="250" w:type="dxa"/>
            </w:tcMar>
            <w:vAlign w:val="center"/>
          </w:tcPr>
          <w:p w14:paraId="3D99B4C1">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4CB81FC3">
            <w:pPr>
              <w:widowControl/>
              <w:spacing w:line="8" w:lineRule="atLeast"/>
              <w:jc w:val="left"/>
              <w:rPr>
                <w:rFonts w:eastAsia="宋体" w:cstheme="minorHAnsi"/>
                <w:kern w:val="0"/>
                <w:sz w:val="19"/>
                <w:szCs w:val="19"/>
              </w:rPr>
            </w:pPr>
            <w:r>
              <w:rPr>
                <w:rFonts w:eastAsia="宋体" w:cstheme="minorHAnsi"/>
                <w:kern w:val="0"/>
                <w:sz w:val="19"/>
                <w:szCs w:val="19"/>
              </w:rPr>
              <w:t>Harnden P, Joffe JK, Jones WG, editors. Germ cell tumours V. Proceedings of the 5th Germ Cell Tumour Conference; 2001 Sep 13-15; Leeds, UK. New York: Springer; 2002.</w:t>
            </w:r>
          </w:p>
        </w:tc>
      </w:tr>
      <w:tr w14:paraId="6E9D50B7">
        <w:trPr>
          <w:trHeight w:val="90" w:hRule="atLeast"/>
          <w:jc w:val="center"/>
        </w:trPr>
        <w:tc>
          <w:tcPr>
            <w:tcW w:w="1556" w:type="dxa"/>
            <w:shd w:val="clear" w:color="auto" w:fill="auto"/>
            <w:tcMar>
              <w:top w:w="63" w:type="dxa"/>
              <w:left w:w="250" w:type="dxa"/>
              <w:bottom w:w="63" w:type="dxa"/>
              <w:right w:w="250" w:type="dxa"/>
            </w:tcMar>
            <w:vAlign w:val="center"/>
          </w:tcPr>
          <w:p w14:paraId="050A6053">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7A1E11C9">
            <w:pPr>
              <w:widowControl/>
              <w:spacing w:line="8" w:lineRule="atLeast"/>
              <w:jc w:val="left"/>
              <w:rPr>
                <w:rFonts w:eastAsia="宋体" w:cstheme="minorHAnsi"/>
                <w:kern w:val="0"/>
                <w:sz w:val="19"/>
                <w:szCs w:val="19"/>
              </w:rPr>
            </w:pPr>
            <w:r>
              <w:rPr>
                <w:rFonts w:eastAsia="宋体" w:cstheme="minorHAnsi"/>
                <w:kern w:val="0"/>
                <w:sz w:val="19"/>
                <w:szCs w:val="19"/>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eastAsia="宋体" w:cstheme="minorHAnsi"/>
                <w:kern w:val="0"/>
                <w:sz w:val="19"/>
                <w:szCs w:val="19"/>
              </w:rPr>
              <w:t>p</w:t>
            </w:r>
            <w:r>
              <w:rPr>
                <w:rFonts w:eastAsia="宋体" w:cstheme="minorHAnsi"/>
                <w:kern w:val="0"/>
                <w:sz w:val="19"/>
                <w:szCs w:val="19"/>
              </w:rPr>
              <w:t>. 182-91.</w:t>
            </w:r>
          </w:p>
        </w:tc>
      </w:tr>
      <w:tr w14:paraId="15F356A5">
        <w:trPr>
          <w:trHeight w:val="90" w:hRule="atLeast"/>
          <w:jc w:val="center"/>
        </w:trPr>
        <w:tc>
          <w:tcPr>
            <w:tcW w:w="1556" w:type="dxa"/>
            <w:shd w:val="clear" w:color="auto" w:fill="auto"/>
            <w:tcMar>
              <w:top w:w="63" w:type="dxa"/>
              <w:left w:w="250" w:type="dxa"/>
              <w:bottom w:w="63" w:type="dxa"/>
              <w:right w:w="250" w:type="dxa"/>
            </w:tcMar>
            <w:vAlign w:val="center"/>
          </w:tcPr>
          <w:p w14:paraId="242E70B2">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hint="eastAsia" w:eastAsia="宋体" w:cstheme="minorHAnsi"/>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24A62C04">
            <w:pPr>
              <w:widowControl/>
              <w:spacing w:line="8" w:lineRule="atLeast"/>
              <w:jc w:val="left"/>
              <w:rPr>
                <w:rFonts w:eastAsia="宋体" w:cstheme="minorHAnsi"/>
                <w:kern w:val="0"/>
                <w:sz w:val="19"/>
                <w:szCs w:val="19"/>
              </w:rPr>
            </w:pPr>
            <w:r>
              <w:rPr>
                <w:rFonts w:eastAsia="宋体" w:cstheme="minorHAnsi"/>
                <w:kern w:val="0"/>
                <w:sz w:val="19"/>
                <w:szCs w:val="19"/>
              </w:rPr>
              <w:t>Tian D, Araki H, Stahl E, Bergelson J, Kreitman M. Signature of balancing selection in Arabidopsis.</w:t>
            </w:r>
            <w:r>
              <w:rPr>
                <w:rFonts w:hint="eastAsia" w:eastAsia="宋体" w:cstheme="minorHAnsi"/>
                <w:kern w:val="0"/>
                <w:sz w:val="19"/>
                <w:szCs w:val="19"/>
              </w:rPr>
              <w:t xml:space="preserve"> </w:t>
            </w:r>
            <w:r>
              <w:rPr>
                <w:rFonts w:eastAsia="宋体" w:cstheme="minorHAnsi"/>
                <w:iCs/>
                <w:kern w:val="0"/>
                <w:sz w:val="19"/>
                <w:szCs w:val="19"/>
              </w:rPr>
              <w:t>P</w:t>
            </w:r>
            <w:r>
              <w:rPr>
                <w:rFonts w:eastAsia="宋体" w:cstheme="minorHAnsi"/>
                <w:i/>
                <w:kern w:val="0"/>
                <w:sz w:val="19"/>
                <w:szCs w:val="19"/>
              </w:rPr>
              <w:t>roc Natl Acad Sci</w:t>
            </w:r>
            <w:r>
              <w:rPr>
                <w:rFonts w:eastAsia="宋体" w:cstheme="minorHAnsi"/>
                <w:iCs/>
                <w:kern w:val="0"/>
                <w:sz w:val="19"/>
                <w:szCs w:val="19"/>
              </w:rPr>
              <w:t xml:space="preserve"> </w:t>
            </w:r>
            <w:r>
              <w:rPr>
                <w:rFonts w:eastAsia="宋体" w:cstheme="minorHAnsi"/>
                <w:i/>
                <w:kern w:val="0"/>
                <w:sz w:val="19"/>
                <w:szCs w:val="19"/>
              </w:rPr>
              <w:t>U</w:t>
            </w:r>
            <w:r>
              <w:rPr>
                <w:rFonts w:hint="eastAsia" w:eastAsia="宋体" w:cstheme="minorHAnsi"/>
                <w:i/>
                <w:kern w:val="0"/>
                <w:sz w:val="19"/>
                <w:szCs w:val="19"/>
              </w:rPr>
              <w:t xml:space="preserve"> </w:t>
            </w:r>
            <w:r>
              <w:rPr>
                <w:rFonts w:eastAsia="宋体" w:cstheme="minorHAnsi"/>
                <w:i/>
                <w:kern w:val="0"/>
                <w:sz w:val="19"/>
                <w:szCs w:val="19"/>
              </w:rPr>
              <w:t>S</w:t>
            </w:r>
            <w:r>
              <w:rPr>
                <w:rFonts w:hint="eastAsia" w:eastAsia="宋体" w:cstheme="minorHAnsi"/>
                <w:i/>
                <w:kern w:val="0"/>
                <w:sz w:val="19"/>
                <w:szCs w:val="19"/>
              </w:rPr>
              <w:t xml:space="preserve"> </w:t>
            </w:r>
            <w:r>
              <w:rPr>
                <w:rFonts w:eastAsia="宋体" w:cstheme="minorHAnsi"/>
                <w:i/>
                <w:kern w:val="0"/>
                <w:sz w:val="19"/>
                <w:szCs w:val="19"/>
              </w:rPr>
              <w:t>A</w:t>
            </w:r>
            <w:r>
              <w:rPr>
                <w:rFonts w:eastAsia="宋体" w:cstheme="minorHAnsi"/>
                <w:kern w:val="0"/>
                <w:sz w:val="19"/>
                <w:szCs w:val="19"/>
              </w:rPr>
              <w:t>. Forthcoming 2002.</w:t>
            </w:r>
          </w:p>
        </w:tc>
      </w:tr>
      <w:tr w14:paraId="10048F88">
        <w:trPr>
          <w:trHeight w:val="517" w:hRule="atLeast"/>
          <w:jc w:val="center"/>
        </w:trPr>
        <w:tc>
          <w:tcPr>
            <w:tcW w:w="1556" w:type="dxa"/>
            <w:shd w:val="clear" w:color="auto" w:fill="auto"/>
            <w:tcMar>
              <w:top w:w="63" w:type="dxa"/>
              <w:left w:w="250" w:type="dxa"/>
              <w:bottom w:w="63" w:type="dxa"/>
              <w:right w:w="250" w:type="dxa"/>
            </w:tcMar>
            <w:vAlign w:val="center"/>
          </w:tcPr>
          <w:p w14:paraId="334FAC78">
            <w:pPr>
              <w:widowControl/>
              <w:spacing w:line="8" w:lineRule="atLeast"/>
              <w:jc w:val="left"/>
              <w:rPr>
                <w:rFonts w:eastAsia="宋体" w:cstheme="minorHAnsi"/>
                <w:kern w:val="0"/>
                <w:sz w:val="19"/>
                <w:szCs w:val="19"/>
              </w:rPr>
            </w:pPr>
            <w:r>
              <w:rPr>
                <w:rFonts w:eastAsia="宋体" w:cstheme="minorHAnsi"/>
                <w:kern w:val="0"/>
                <w:sz w:val="19"/>
                <w:szCs w:val="19"/>
              </w:rPr>
              <w:t>Thesis or dissertation</w:t>
            </w:r>
          </w:p>
          <w:p w14:paraId="129837BC">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749EED5A">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hint="eastAsia" w:eastAsia="宋体" w:cstheme="minorHAnsi"/>
                <w:kern w:val="0"/>
                <w:sz w:val="19"/>
                <w:szCs w:val="19"/>
              </w:rPr>
              <w:t>Available from https://</w:t>
            </w:r>
            <w:r>
              <w:rPr>
                <w:rFonts w:eastAsia="宋体" w:cstheme="minorHAnsi"/>
                <w:kern w:val="0"/>
                <w:sz w:val="19"/>
                <w:szCs w:val="19"/>
              </w:rPr>
              <w:t xml:space="preserve">resolver.caltech.edu/CaltechTHESIS:05102010-145436548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tc>
      </w:tr>
      <w:tr w14:paraId="54280BA3">
        <w:trPr>
          <w:jc w:val="center"/>
        </w:trPr>
        <w:tc>
          <w:tcPr>
            <w:tcW w:w="1556" w:type="dxa"/>
            <w:shd w:val="clear" w:color="auto" w:fill="auto"/>
            <w:tcMar>
              <w:top w:w="63" w:type="dxa"/>
              <w:left w:w="250" w:type="dxa"/>
              <w:bottom w:w="63" w:type="dxa"/>
              <w:right w:w="250" w:type="dxa"/>
            </w:tcMar>
            <w:vAlign w:val="center"/>
          </w:tcPr>
          <w:p w14:paraId="1A03155F">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0357A380">
            <w:pPr>
              <w:widowControl/>
              <w:spacing w:line="8" w:lineRule="atLeast"/>
              <w:jc w:val="left"/>
              <w:rPr>
                <w:rFonts w:eastAsia="宋体" w:cstheme="minorHAnsi"/>
                <w:kern w:val="0"/>
                <w:sz w:val="19"/>
                <w:szCs w:val="19"/>
              </w:rPr>
            </w:pPr>
            <w:r>
              <w:rPr>
                <w:rFonts w:hint="eastAsia" w:eastAsia="宋体" w:cstheme="minorHAnsi"/>
                <w:kern w:val="0"/>
                <w:sz w:val="19"/>
                <w:szCs w:val="19"/>
              </w:rPr>
              <w:t>Enander RT. Lead particulate and methylene chloride risks in automotive refinishing. Ph.D. Thesis, Tufts University, Medford, MA, 2001.</w:t>
            </w:r>
          </w:p>
        </w:tc>
      </w:tr>
      <w:tr w14:paraId="6787891E">
        <w:trPr>
          <w:jc w:val="center"/>
        </w:trPr>
        <w:tc>
          <w:tcPr>
            <w:tcW w:w="1556" w:type="dxa"/>
            <w:shd w:val="clear" w:color="auto" w:fill="auto"/>
            <w:tcMar>
              <w:top w:w="63" w:type="dxa"/>
              <w:left w:w="250" w:type="dxa"/>
              <w:bottom w:w="63" w:type="dxa"/>
              <w:right w:w="250" w:type="dxa"/>
            </w:tcMar>
            <w:vAlign w:val="center"/>
          </w:tcPr>
          <w:p w14:paraId="1F535784">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5B511AA0">
            <w:pPr>
              <w:widowControl/>
              <w:spacing w:line="8" w:lineRule="atLeast"/>
              <w:jc w:val="left"/>
              <w:rPr>
                <w:rFonts w:eastAsia="宋体" w:cstheme="minorHAnsi"/>
                <w:kern w:val="0"/>
                <w:sz w:val="19"/>
                <w:szCs w:val="19"/>
              </w:rPr>
            </w:pPr>
            <w:r>
              <w:rPr>
                <w:rFonts w:hint="eastAsia" w:eastAsia="宋体" w:cstheme="minorHAnsi"/>
                <w:kern w:val="0"/>
                <w:sz w:val="19"/>
                <w:szCs w:val="19"/>
              </w:rPr>
              <w:t>World Health Organization Home Page</w:t>
            </w:r>
            <w:r>
              <w:rPr>
                <w:rFonts w:eastAsia="宋体" w:cstheme="minorHAnsi"/>
                <w:kern w:val="0"/>
                <w:sz w:val="19"/>
                <w:szCs w:val="19"/>
              </w:rPr>
              <w:t xml:space="preserve">. Available from https://www.who.int/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51774464">
            <w:pPr>
              <w:widowControl/>
              <w:spacing w:line="8" w:lineRule="atLeast"/>
              <w:jc w:val="left"/>
              <w:rPr>
                <w:rFonts w:eastAsia="宋体" w:cstheme="minorHAnsi"/>
                <w:kern w:val="0"/>
                <w:sz w:val="19"/>
                <w:szCs w:val="19"/>
              </w:rPr>
            </w:pPr>
          </w:p>
        </w:tc>
      </w:tr>
      <w:tr w14:paraId="1DF0CA33">
        <w:trPr>
          <w:jc w:val="center"/>
        </w:trPr>
        <w:tc>
          <w:tcPr>
            <w:tcW w:w="1556" w:type="dxa"/>
            <w:shd w:val="clear" w:color="auto" w:fill="auto"/>
            <w:tcMar>
              <w:top w:w="63" w:type="dxa"/>
              <w:left w:w="250" w:type="dxa"/>
              <w:bottom w:w="63" w:type="dxa"/>
              <w:right w:w="250" w:type="dxa"/>
            </w:tcMar>
            <w:vAlign w:val="center"/>
          </w:tcPr>
          <w:p w14:paraId="55A4271A">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157CFD2B">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77092399">
            <w:pPr>
              <w:widowControl/>
              <w:spacing w:line="8" w:lineRule="atLeast"/>
              <w:jc w:val="left"/>
              <w:rPr>
                <w:rFonts w:eastAsia="宋体" w:cstheme="minorHAnsi"/>
                <w:kern w:val="0"/>
                <w:sz w:val="19"/>
                <w:szCs w:val="19"/>
              </w:rPr>
            </w:pPr>
            <w:r>
              <w:rPr>
                <w:rFonts w:hint="eastAsia" w:eastAsia="宋体" w:cstheme="minorHAnsi"/>
                <w:kern w:val="0"/>
                <w:sz w:val="19"/>
                <w:szCs w:val="19"/>
              </w:rPr>
              <w:t>Beauge J. School district sued over burns girl suffered during chemistry class demonstration.</w:t>
            </w:r>
            <w:r>
              <w:rPr>
                <w:rFonts w:eastAsia="宋体" w:cstheme="minorHAnsi"/>
                <w:kern w:val="0"/>
                <w:sz w:val="19"/>
                <w:szCs w:val="19"/>
              </w:rPr>
              <w:t> </w:t>
            </w:r>
            <w:r>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34A7A1A3">
            <w:pPr>
              <w:widowControl/>
              <w:spacing w:line="8" w:lineRule="atLeast"/>
              <w:jc w:val="left"/>
              <w:rPr>
                <w:rFonts w:eastAsia="宋体" w:cstheme="minorHAnsi"/>
                <w:kern w:val="0"/>
                <w:sz w:val="19"/>
                <w:szCs w:val="19"/>
              </w:rPr>
            </w:pPr>
          </w:p>
        </w:tc>
      </w:tr>
      <w:tr w14:paraId="6586EC08">
        <w:trPr>
          <w:jc w:val="center"/>
        </w:trPr>
        <w:tc>
          <w:tcPr>
            <w:tcW w:w="1556" w:type="dxa"/>
            <w:shd w:val="clear" w:color="auto" w:fill="auto"/>
            <w:tcMar>
              <w:top w:w="63" w:type="dxa"/>
              <w:left w:w="250" w:type="dxa"/>
              <w:bottom w:w="63" w:type="dxa"/>
              <w:right w:w="250" w:type="dxa"/>
            </w:tcMar>
            <w:vAlign w:val="center"/>
          </w:tcPr>
          <w:p w14:paraId="3989D427">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779CBCE6">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5307B080">
            <w:pPr>
              <w:widowControl/>
              <w:spacing w:line="8" w:lineRule="atLeast"/>
              <w:jc w:val="left"/>
              <w:rPr>
                <w:rFonts w:eastAsia="宋体" w:cstheme="minorHAnsi"/>
                <w:kern w:val="0"/>
                <w:sz w:val="19"/>
                <w:szCs w:val="19"/>
              </w:rPr>
            </w:pPr>
            <w:r>
              <w:rPr>
                <w:rFonts w:hint="eastAsia" w:eastAsia="宋体" w:cstheme="minorHAnsi"/>
                <w:kern w:val="0"/>
                <w:sz w:val="19"/>
                <w:szCs w:val="19"/>
              </w:rPr>
              <w:t>SpectraBase</w:t>
            </w:r>
            <w:r>
              <w:rPr>
                <w:rFonts w:eastAsia="宋体" w:cstheme="minorHAnsi"/>
                <w:kern w:val="0"/>
                <w:sz w:val="19"/>
                <w:szCs w:val="19"/>
              </w:rPr>
              <w:t xml:space="preserve">. Bio-Rad Laboratories. Available from https://spectrabase.com/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690AFC88">
            <w:pPr>
              <w:widowControl/>
              <w:spacing w:line="8" w:lineRule="atLeast"/>
              <w:jc w:val="left"/>
              <w:rPr>
                <w:rFonts w:eastAsia="宋体" w:cstheme="minorHAnsi"/>
                <w:kern w:val="0"/>
                <w:sz w:val="19"/>
                <w:szCs w:val="19"/>
              </w:rPr>
            </w:pPr>
          </w:p>
        </w:tc>
      </w:tr>
      <w:tr w14:paraId="1D6BE144">
        <w:trPr>
          <w:jc w:val="center"/>
        </w:trPr>
        <w:tc>
          <w:tcPr>
            <w:tcW w:w="1556" w:type="dxa"/>
            <w:shd w:val="clear" w:color="auto" w:fill="auto"/>
            <w:tcMar>
              <w:top w:w="63" w:type="dxa"/>
              <w:left w:w="250" w:type="dxa"/>
              <w:bottom w:w="63" w:type="dxa"/>
              <w:right w:w="250" w:type="dxa"/>
            </w:tcMar>
            <w:vAlign w:val="center"/>
          </w:tcPr>
          <w:p w14:paraId="0419EE10">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71CE98A7">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1DC32B64">
            <w:pPr>
              <w:widowControl/>
              <w:spacing w:line="8" w:lineRule="atLeast"/>
              <w:jc w:val="left"/>
              <w:rPr>
                <w:rFonts w:eastAsia="宋体" w:cstheme="minorHAnsi"/>
                <w:kern w:val="0"/>
                <w:sz w:val="19"/>
                <w:szCs w:val="19"/>
              </w:rPr>
            </w:pPr>
            <w:r>
              <w:rPr>
                <w:rFonts w:hint="eastAsia" w:eastAsia="宋体" w:cstheme="minorHAnsi"/>
                <w:kern w:val="0"/>
                <w:sz w:val="19"/>
                <w:szCs w:val="19"/>
              </w:rPr>
              <w:t>Stern MK, Cheng BKM. Process for preparing N-(p-nitroaryl)amides via reaction of nitrobenzene with nitriles. US 5380946, 1995.</w:t>
            </w:r>
          </w:p>
          <w:p w14:paraId="63646462">
            <w:pPr>
              <w:widowControl/>
              <w:spacing w:line="8" w:lineRule="atLeast"/>
              <w:jc w:val="left"/>
              <w:rPr>
                <w:rFonts w:eastAsia="宋体" w:cstheme="minorHAnsi"/>
                <w:kern w:val="0"/>
                <w:sz w:val="19"/>
                <w:szCs w:val="19"/>
              </w:rPr>
            </w:pPr>
          </w:p>
        </w:tc>
      </w:tr>
      <w:tr w14:paraId="5C2776D8">
        <w:trPr>
          <w:jc w:val="center"/>
        </w:trPr>
        <w:tc>
          <w:tcPr>
            <w:tcW w:w="1556" w:type="dxa"/>
            <w:shd w:val="clear" w:color="auto" w:fill="auto"/>
            <w:tcMar>
              <w:top w:w="63" w:type="dxa"/>
              <w:left w:w="250" w:type="dxa"/>
              <w:bottom w:w="63" w:type="dxa"/>
              <w:right w:w="250" w:type="dxa"/>
            </w:tcMar>
            <w:vAlign w:val="center"/>
          </w:tcPr>
          <w:p w14:paraId="4EADA320">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7657F004">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269FD126">
            <w:pPr>
              <w:widowControl/>
              <w:spacing w:line="8" w:lineRule="atLeast"/>
              <w:jc w:val="left"/>
              <w:rPr>
                <w:rFonts w:eastAsia="宋体" w:cstheme="minorHAnsi"/>
                <w:kern w:val="0"/>
                <w:sz w:val="19"/>
                <w:szCs w:val="19"/>
              </w:rPr>
            </w:pPr>
            <w:r>
              <w:rPr>
                <w:rFonts w:hint="eastAsia" w:eastAsia="宋体" w:cstheme="minorHAnsi"/>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r>
              <w:rPr>
                <w:rFonts w:eastAsia="宋体" w:cstheme="minorHAnsi"/>
                <w:i/>
                <w:iCs/>
                <w:kern w:val="0"/>
                <w:sz w:val="19"/>
                <w:szCs w:val="19"/>
              </w:rPr>
              <w:t>arXiv</w:t>
            </w:r>
            <w:r>
              <w:rPr>
                <w:rFonts w:eastAsia="宋体" w:cstheme="minorHAnsi"/>
                <w:kern w:val="0"/>
                <w:sz w:val="19"/>
                <w:szCs w:val="19"/>
              </w:rPr>
              <w:t> 2004</w:t>
            </w:r>
            <w:r>
              <w:rPr>
                <w:rFonts w:hint="eastAsia" w:eastAsia="宋体" w:cstheme="minorHAnsi"/>
                <w:kern w:val="0"/>
                <w:sz w:val="19"/>
                <w:szCs w:val="19"/>
              </w:rPr>
              <w:t>;</w:t>
            </w:r>
            <w:r>
              <w:rPr>
                <w:rFonts w:eastAsia="宋体" w:cstheme="minorHAnsi"/>
                <w:kern w:val="0"/>
                <w:sz w:val="19"/>
                <w:szCs w:val="19"/>
              </w:rPr>
              <w:t xml:space="preserve">arXiv:2401.00044. Available from https://arxiv.org/abs/2401.00044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r>
              <w:rPr>
                <w:rFonts w:hint="eastAsia" w:eastAsia="宋体" w:cstheme="minorHAnsi"/>
                <w:kern w:val="0"/>
                <w:sz w:val="19"/>
                <w:szCs w:val="19"/>
              </w:rPr>
              <w:t xml:space="preserve"> </w:t>
            </w:r>
          </w:p>
        </w:tc>
      </w:tr>
      <w:bookmarkEnd w:id="8"/>
    </w:tbl>
    <w:p w14:paraId="710726B7">
      <w:pPr>
        <w:widowControl/>
        <w:shd w:val="clear" w:color="auto" w:fill="FFFFFF"/>
        <w:spacing w:after="125" w:line="8" w:lineRule="atLeast"/>
        <w:jc w:val="left"/>
        <w:rPr>
          <w:rFonts w:eastAsia="宋体" w:cstheme="minorHAnsi"/>
          <w:color w:val="000000"/>
          <w:kern w:val="0"/>
          <w:sz w:val="19"/>
          <w:szCs w:val="19"/>
        </w:rPr>
      </w:pPr>
    </w:p>
    <w:p w14:paraId="3A652A0D">
      <w:pPr>
        <w:widowControl/>
        <w:tabs>
          <w:tab w:val="left" w:pos="5094"/>
        </w:tabs>
        <w:adjustRightInd w:val="0"/>
        <w:snapToGrid w:val="0"/>
        <w:spacing w:before="156" w:beforeLines="50" w:after="156" w:afterLines="50" w:line="260" w:lineRule="atLeast"/>
        <w:jc w:val="left"/>
        <w:rPr>
          <w:rFonts w:cs="Times New Roman"/>
          <w:color w:val="000000"/>
          <w:sz w:val="20"/>
          <w:szCs w:val="20"/>
        </w:rPr>
      </w:pPr>
      <w:r>
        <w:rPr>
          <w:rFonts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3"/>
          <w:rFonts w:eastAsia="宋体" w:cs="Times New Roman"/>
          <w:b/>
          <w:bCs/>
          <w:iCs/>
          <w:color w:val="000000"/>
          <w:kern w:val="0"/>
          <w:sz w:val="20"/>
          <w:szCs w:val="20"/>
        </w:rPr>
        <w:t>https://www.nlm.nih.gov/bsd/uniform_requirements.html)</w:t>
      </w:r>
      <w:r>
        <w:rPr>
          <w:rStyle w:val="13"/>
          <w:rFonts w:eastAsia="宋体" w:cs="Times New Roman"/>
          <w:b/>
          <w:bCs/>
          <w:iCs/>
          <w:color w:val="000000"/>
          <w:kern w:val="0"/>
          <w:sz w:val="20"/>
          <w:szCs w:val="20"/>
        </w:rPr>
        <w:fldChar w:fldCharType="end"/>
      </w:r>
      <w:r>
        <w:rPr>
          <w:rFonts w:eastAsia="宋体" w:cs="Times New Roman"/>
          <w:bCs/>
          <w:i/>
          <w:iCs/>
          <w:color w:val="000000"/>
          <w:kern w:val="0"/>
          <w:sz w:val="20"/>
          <w:szCs w:val="20"/>
        </w:rPr>
        <w:t>.</w:t>
      </w:r>
    </w:p>
    <w:p w14:paraId="560AFA08">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alatino Linotype">
    <w:altName w:val="苹方-简"/>
    <w:panose1 w:val="02040502050505030304"/>
    <w:charset w:val="00"/>
    <w:family w:val="roman"/>
    <w:pitch w:val="default"/>
    <w:sig w:usb0="00000000" w:usb1="00000000" w:usb2="00000000" w:usb3="00000000" w:csb0="0000019F"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8111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A126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E20254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242C905">
    <w:pPr>
      <w:adjustRightInd w:val="0"/>
      <w:snapToGrid w:val="0"/>
      <w:spacing w:before="240" w:line="260" w:lineRule="atLeast"/>
      <w:ind w:left="3780" w:hanging="3780" w:hangingChars="18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"https://www.oaepublish.com/jcmt" </w:instrText>
    </w:r>
    <w:r>
      <w:fldChar w:fldCharType="separate"/>
    </w:r>
    <w:r>
      <w:rPr>
        <w:rStyle w:val="13"/>
      </w:rPr>
      <w:t>https://www.oaepublish.com/jcmt</w:t>
    </w:r>
    <w:r>
      <w:rPr>
        <w:rStyle w:val="13"/>
      </w:rPr>
      <w:fldChar w:fldCharType="end"/>
    </w:r>
  </w:p>
  <w:p w14:paraId="47268F85">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9F232">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Cancer Metastasis Treat</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http://dx.doi.org/10.20517/2394-4722.xxxx.xx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A8380">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Cancer Metastasis Treat</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http://dx.doi.org/10.20517/2394-4722.xxxx.xx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81CF6">
    <w:pPr>
      <w:pStyle w:val="5"/>
    </w:pPr>
    <w:bookmarkStart w:id="9" w:name="OLE_LINK5"/>
    <w:r>
      <w:drawing>
        <wp:anchor distT="0" distB="0" distL="114300" distR="114300" simplePos="0" relativeHeight="251659264" behindDoc="1" locked="0" layoutInCell="1" allowOverlap="1">
          <wp:simplePos x="0" y="0"/>
          <wp:positionH relativeFrom="column">
            <wp:posOffset>3495040</wp:posOffset>
          </wp:positionH>
          <wp:positionV relativeFrom="paragraph">
            <wp:posOffset>8255</wp:posOffset>
          </wp:positionV>
          <wp:extent cx="1894840" cy="326390"/>
          <wp:effectExtent l="0" t="0" r="29210" b="0"/>
          <wp:wrapTight wrapText="bothSides">
            <wp:wrapPolygon>
              <wp:start x="6298" y="2521"/>
              <wp:lineTo x="869" y="10086"/>
              <wp:lineTo x="0" y="12607"/>
              <wp:lineTo x="0" y="20171"/>
              <wp:lineTo x="21064" y="20171"/>
              <wp:lineTo x="21282" y="5043"/>
              <wp:lineTo x="20413" y="2521"/>
              <wp:lineTo x="16287" y="2521"/>
              <wp:lineTo x="6298" y="2521"/>
            </wp:wrapPolygon>
          </wp:wrapTight>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
                  <a:srcRect l="54927"/>
                  <a:stretch>
                    <a:fillRect/>
                  </a:stretch>
                </pic:blipFill>
                <pic:spPr>
                  <a:xfrm>
                    <a:off x="0" y="0"/>
                    <a:ext cx="1894840" cy="326390"/>
                  </a:xfrm>
                  <a:prstGeom prst="rect">
                    <a:avLst/>
                  </a:prstGeom>
                  <a:noFill/>
                  <a:ln w="9525">
                    <a:noFill/>
                  </a:ln>
                </pic:spPr>
              </pic:pic>
            </a:graphicData>
          </a:graphic>
        </wp:anchor>
      </w:drawing>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J Cancer Metastasis Treat</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10.20517/2394-4722.xxxx.xx</w: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4"/>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MTE4ZGE3ZmUzMmJjMDhlNDhjZjRhZDJlODZiMDcifQ=="/>
  </w:docVars>
  <w:rsids>
    <w:rsidRoot w:val="00172A27"/>
    <w:rsid w:val="000154A2"/>
    <w:rsid w:val="000178BA"/>
    <w:rsid w:val="00030B75"/>
    <w:rsid w:val="0003284A"/>
    <w:rsid w:val="000D5EBD"/>
    <w:rsid w:val="001470EE"/>
    <w:rsid w:val="00172A27"/>
    <w:rsid w:val="0019510B"/>
    <w:rsid w:val="00273491"/>
    <w:rsid w:val="00331E76"/>
    <w:rsid w:val="003608FF"/>
    <w:rsid w:val="003B627D"/>
    <w:rsid w:val="003C5296"/>
    <w:rsid w:val="00423880"/>
    <w:rsid w:val="00497675"/>
    <w:rsid w:val="004F52CE"/>
    <w:rsid w:val="005570D9"/>
    <w:rsid w:val="00582392"/>
    <w:rsid w:val="00631306"/>
    <w:rsid w:val="00637595"/>
    <w:rsid w:val="007D1FD5"/>
    <w:rsid w:val="008075EB"/>
    <w:rsid w:val="00842C21"/>
    <w:rsid w:val="008533D2"/>
    <w:rsid w:val="00876F96"/>
    <w:rsid w:val="008A495C"/>
    <w:rsid w:val="00921419"/>
    <w:rsid w:val="0099522F"/>
    <w:rsid w:val="009B2D56"/>
    <w:rsid w:val="00A37A37"/>
    <w:rsid w:val="00A62933"/>
    <w:rsid w:val="00AE0312"/>
    <w:rsid w:val="00AF23F3"/>
    <w:rsid w:val="00B42AC5"/>
    <w:rsid w:val="00B6330D"/>
    <w:rsid w:val="00B74EF5"/>
    <w:rsid w:val="00BB3538"/>
    <w:rsid w:val="00C03A6B"/>
    <w:rsid w:val="00C354C1"/>
    <w:rsid w:val="00C5076C"/>
    <w:rsid w:val="00C6365E"/>
    <w:rsid w:val="00CA2500"/>
    <w:rsid w:val="00D16246"/>
    <w:rsid w:val="00D17F97"/>
    <w:rsid w:val="00D216AC"/>
    <w:rsid w:val="00D34BE2"/>
    <w:rsid w:val="00DF5C43"/>
    <w:rsid w:val="00E13931"/>
    <w:rsid w:val="00E31605"/>
    <w:rsid w:val="00EA21CF"/>
    <w:rsid w:val="00EE548B"/>
    <w:rsid w:val="00EE7B5F"/>
    <w:rsid w:val="00F356DE"/>
    <w:rsid w:val="00F37CB8"/>
    <w:rsid w:val="00F47A79"/>
    <w:rsid w:val="00FA6414"/>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54C65"/>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A1D71"/>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2D490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05DC3"/>
    <w:rsid w:val="270867AA"/>
    <w:rsid w:val="270D21AC"/>
    <w:rsid w:val="27130559"/>
    <w:rsid w:val="2716705A"/>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E21F6"/>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BE450C"/>
    <w:rsid w:val="2AC10DE8"/>
    <w:rsid w:val="2AC11911"/>
    <w:rsid w:val="2AC868B7"/>
    <w:rsid w:val="2ACC6349"/>
    <w:rsid w:val="2AD81452"/>
    <w:rsid w:val="2AE14C9D"/>
    <w:rsid w:val="2AE63022"/>
    <w:rsid w:val="2AEE1D9E"/>
    <w:rsid w:val="2AF27530"/>
    <w:rsid w:val="2AF374D3"/>
    <w:rsid w:val="2AF43D74"/>
    <w:rsid w:val="2B0758A5"/>
    <w:rsid w:val="2B1E3402"/>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DC72F3"/>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03FA"/>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76AC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2C44AC"/>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BFAD38"/>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D53F8"/>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 w:val="995AC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2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954F72" w:themeColor="followedHyperlink"/>
      <w:u w:val="single"/>
      <w14:textFill>
        <w14:solidFill>
          <w14:schemeClr w14:val="folHlink"/>
        </w14:solidFill>
      </w14:textFill>
    </w:rPr>
  </w:style>
  <w:style w:type="character" w:styleId="12">
    <w:name w:val="line number"/>
    <w:basedOn w:val="10"/>
    <w:qFormat/>
    <w:uiPriority w:val="0"/>
  </w:style>
  <w:style w:type="character" w:styleId="13">
    <w:name w:val="Hyperlink"/>
    <w:basedOn w:val="10"/>
    <w:qFormat/>
    <w:uiPriority w:val="0"/>
    <w:rPr>
      <w:color w:val="0000FF"/>
      <w:u w:val="single"/>
    </w:rPr>
  </w:style>
  <w:style w:type="paragraph" w:customStyle="1" w:styleId="14">
    <w:name w:val="MDPI_7.1_References"/>
    <w:basedOn w:val="15"/>
    <w:qFormat/>
    <w:uiPriority w:val="0"/>
    <w:pPr>
      <w:numPr>
        <w:ilvl w:val="0"/>
        <w:numId w:val="1"/>
      </w:numPr>
      <w:spacing w:before="0" w:line="260" w:lineRule="atLeast"/>
      <w:ind w:left="425" w:hanging="425"/>
    </w:pPr>
  </w:style>
  <w:style w:type="paragraph" w:customStyle="1" w:styleId="15">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6">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7">
    <w:name w:val="MDPI_footer_firstpage"/>
    <w:basedOn w:val="18"/>
    <w:qFormat/>
    <w:uiPriority w:val="0"/>
    <w:pPr>
      <w:tabs>
        <w:tab w:val="right" w:pos="8845"/>
      </w:tabs>
      <w:spacing w:line="160" w:lineRule="exact"/>
      <w:jc w:val="left"/>
    </w:pPr>
    <w:rPr>
      <w:sz w:val="16"/>
    </w:rPr>
  </w:style>
  <w:style w:type="paragraph" w:customStyle="1" w:styleId="18">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9">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0">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1">
    <w:name w:val="M_deck_5_table_body_three_lines"/>
    <w:basedOn w:val="8"/>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2">
    <w:name w:val="MDPI_3.9_equation"/>
    <w:basedOn w:val="23"/>
    <w:qFormat/>
    <w:uiPriority w:val="0"/>
    <w:pPr>
      <w:spacing w:before="120" w:after="120"/>
      <w:ind w:left="709" w:firstLine="0"/>
      <w:jc w:val="center"/>
    </w:pPr>
  </w:style>
  <w:style w:type="paragraph" w:customStyle="1" w:styleId="23">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MDPI_3.a_equation_number"/>
    <w:basedOn w:val="23"/>
    <w:qFormat/>
    <w:uiPriority w:val="0"/>
    <w:pPr>
      <w:spacing w:before="120" w:after="120" w:line="240" w:lineRule="auto"/>
      <w:ind w:firstLine="0"/>
      <w:jc w:val="right"/>
    </w:pPr>
  </w:style>
  <w:style w:type="character" w:customStyle="1" w:styleId="25">
    <w:name w:val="批注框文本 字符"/>
    <w:basedOn w:val="10"/>
    <w:link w:val="4"/>
    <w:qFormat/>
    <w:uiPriority w:val="0"/>
    <w:rPr>
      <w:rFonts w:asciiTheme="minorHAnsi" w:hAnsiTheme="minorHAnsi" w:eastAsiaTheme="minorEastAsia" w:cstheme="minorBidi"/>
      <w:kern w:val="2"/>
      <w:sz w:val="18"/>
      <w:szCs w:val="18"/>
    </w:rPr>
  </w:style>
  <w:style w:type="character" w:customStyle="1" w:styleId="26">
    <w:name w:val="Unresolved Mention"/>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45538816"/>
        <c:axId val="45106880"/>
      </c:barChart>
      <c:catAx>
        <c:axId val="4553881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06880"/>
        <c:crosses val="autoZero"/>
        <c:auto val="1"/>
        <c:lblAlgn val="ctr"/>
        <c:lblOffset val="100"/>
        <c:tickLblSkip val="1"/>
        <c:noMultiLvlLbl val="0"/>
      </c:catAx>
      <c:valAx>
        <c:axId val="4510688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538816"/>
        <c:crosses val="autoZero"/>
        <c:crossBetween val="between"/>
      </c:valAx>
      <c:spPr>
        <a:noFill/>
        <a:ln>
          <a:noFill/>
        </a:ln>
        <a:effectLst/>
      </c:spPr>
    </c:plotArea>
    <c:plotVisOnly val="1"/>
    <c:dispBlanksAs val="gap"/>
    <c:showDLblsOverMax val="0"/>
    <c:extLst>
      <c:ext uri="{0b15fc19-7d7d-44ad-8c2d-2c3a37ce22c3}">
        <chartProps xmlns="https://web.wps.cn/et/2018/main" chartId="{6ee73c60-a3fc-4310-a920-d7c65f00bdb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2252</Words>
  <Characters>12839</Characters>
  <Lines>106</Lines>
  <Paragraphs>30</Paragraphs>
  <TotalTime>0</TotalTime>
  <ScaleCrop>false</ScaleCrop>
  <LinksUpToDate>false</LinksUpToDate>
  <CharactersWithSpaces>15061</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c:creator>
  <cp:lastModifiedBy>Zoey Han</cp:lastModifiedBy>
  <dcterms:modified xsi:type="dcterms:W3CDTF">2026-02-03T15:51:31Z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541ED5F1CE0575BEC3A5816929646979_43</vt:lpwstr>
  </property>
</Properties>
</file>