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b/>
          <w:bCs/>
          <w:sz w:val="24"/>
        </w:rPr>
      </w:pPr>
      <w:r>
        <w:rPr>
          <w:rFonts w:hint="eastAsia" w:ascii="Times New Roman" w:hAnsi="Times New Roman" w:cs="Times New Roman"/>
          <w:b/>
          <w:bCs/>
          <w:sz w:val="24"/>
        </w:rPr>
        <w:t>Technical Note</w:t>
      </w:r>
    </w:p>
    <w:p>
      <w:pPr>
        <w:adjustRightInd w:val="0"/>
        <w:snapToGrid w:val="0"/>
        <w:spacing w:line="360" w:lineRule="auto"/>
        <w:jc w:val="left"/>
        <w:rPr>
          <w:rFonts w:ascii="Times New Roman" w:hAnsi="Times New Roman" w:cs="Times New Roman"/>
          <w:b/>
          <w:bCs/>
          <w:sz w:val="24"/>
        </w:rPr>
      </w:pPr>
    </w:p>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pPr>
        <w:adjustRightInd w:val="0"/>
        <w:snapToGrid w:val="0"/>
        <w:spacing w:line="360" w:lineRule="auto"/>
        <w:jc w:val="left"/>
        <w:rPr>
          <w:rFonts w:ascii="Times New Roman" w:hAnsi="Times New Roman" w:cs="Times New Roman"/>
          <w:color w:val="3B3838" w:themeColor="background2" w:themeShade="40"/>
          <w:sz w:val="20"/>
          <w:szCs w:val="20"/>
        </w:rPr>
      </w:pPr>
      <w:r>
        <w:rPr>
          <w:rFonts w:hint="eastAsia" w:ascii="Times New Roman" w:hAnsi="Times New Roman" w:eastAsia="宋体" w:cs="Times New Roman"/>
          <w:iCs/>
          <w:color w:val="767171" w:themeColor="background2" w:themeShade="80"/>
          <w:sz w:val="20"/>
          <w:szCs w:val="20"/>
        </w:rPr>
        <w:t>[</w:t>
      </w:r>
      <w:r>
        <w:rPr>
          <w:rFonts w:ascii="Times New Roman" w:hAnsi="Times New Roman"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cs="Times New Roman"/>
          <w:b/>
          <w:bCs/>
          <w:iCs/>
          <w:color w:val="767171" w:themeColor="background2" w:themeShade="80"/>
          <w:sz w:val="20"/>
          <w:szCs w:val="20"/>
        </w:rPr>
        <w:t>Avoid abbreviations and formulae where possible</w:t>
      </w:r>
      <w:bookmarkEnd w:id="0"/>
      <w:r>
        <w:rPr>
          <w:rFonts w:hint="eastAsia" w:ascii="Times New Roman" w:hAnsi="Times New Roman" w:cs="Times New Roman"/>
          <w:iCs/>
          <w:color w:val="767171" w:themeColor="background2" w:themeShade="80"/>
          <w:sz w:val="20"/>
          <w:szCs w:val="20"/>
        </w:rPr>
        <w:t>]</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The authors’ affiliations should be provided in this format: </w:t>
      </w:r>
      <w:r>
        <w:rPr>
          <w:rFonts w:hint="eastAsia" w:ascii="Times New Roman" w:hAnsi="Times New Roman" w:cs="Times New Roman"/>
          <w:b/>
          <w:bCs/>
          <w:color w:val="767171" w:themeColor="background2" w:themeShade="80"/>
          <w:sz w:val="20"/>
          <w:szCs w:val="20"/>
        </w:rPr>
        <w:t>D</w:t>
      </w:r>
      <w:r>
        <w:rPr>
          <w:rFonts w:ascii="Times New Roman" w:hAnsi="Times New Roman" w:cs="Times New Roman"/>
          <w:b/>
          <w:bCs/>
          <w:color w:val="767171" w:themeColor="background2" w:themeShade="80"/>
          <w:sz w:val="20"/>
          <w:szCs w:val="20"/>
        </w:rPr>
        <w:t xml:space="preserve">epartment, </w:t>
      </w:r>
      <w:r>
        <w:rPr>
          <w:rFonts w:hint="eastAsia" w:ascii="Times New Roman" w:hAnsi="Times New Roman" w:cs="Times New Roman"/>
          <w:b/>
          <w:bCs/>
          <w:color w:val="767171" w:themeColor="background2" w:themeShade="80"/>
          <w:sz w:val="20"/>
          <w:szCs w:val="20"/>
        </w:rPr>
        <w:t>I</w:t>
      </w:r>
      <w:r>
        <w:rPr>
          <w:rFonts w:ascii="Times New Roman" w:hAnsi="Times New Roman" w:cs="Times New Roman"/>
          <w:b/>
          <w:bCs/>
          <w:color w:val="767171" w:themeColor="background2" w:themeShade="80"/>
          <w:sz w:val="20"/>
          <w:szCs w:val="20"/>
        </w:rPr>
        <w:t>nstitut</w:t>
      </w:r>
      <w:r>
        <w:rPr>
          <w:rFonts w:hint="eastAsia" w:ascii="Times New Roman" w:hAnsi="Times New Roman" w:cs="Times New Roman"/>
          <w:b/>
          <w:bCs/>
          <w:color w:val="767171" w:themeColor="background2" w:themeShade="80"/>
          <w:sz w:val="20"/>
          <w:szCs w:val="20"/>
        </w:rPr>
        <w:t>ion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 xml:space="preserve">ity, </w:t>
      </w:r>
      <w:r>
        <w:rPr>
          <w:rFonts w:hint="eastAsia" w:ascii="Times New Roman" w:hAnsi="Times New Roman" w:cs="Times New Roman"/>
          <w:b/>
          <w:bCs/>
          <w:color w:val="767171" w:themeColor="background2" w:themeShade="80"/>
          <w:sz w:val="20"/>
          <w:szCs w:val="20"/>
        </w:rPr>
        <w:t>P</w:t>
      </w:r>
      <w:r>
        <w:rPr>
          <w:rFonts w:ascii="Times New Roman" w:hAnsi="Times New Roman" w:cs="Times New Roman"/>
          <w:b/>
          <w:bCs/>
          <w:color w:val="767171" w:themeColor="background2" w:themeShade="80"/>
          <w:sz w:val="20"/>
          <w:szCs w:val="20"/>
        </w:rPr>
        <w:t xml:space="preserve">ostcode,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ountry</w:t>
      </w:r>
      <w:r>
        <w:rPr>
          <w:rFonts w:hint="eastAsia" w:ascii="Times New Roman" w:hAnsi="Times New Roman" w:cs="Times New Roman"/>
          <w:b/>
          <w:bCs/>
          <w:color w:val="767171" w:themeColor="background2" w:themeShade="80"/>
          <w:sz w:val="20"/>
          <w:szCs w:val="20"/>
        </w:rPr>
        <w:t>]</w:t>
      </w:r>
    </w:p>
    <w:p>
      <w:pPr>
        <w:adjustRightInd w:val="0"/>
        <w:snapToGrid w:val="0"/>
        <w:spacing w:line="360" w:lineRule="auto"/>
        <w:jc w:val="left"/>
        <w:rPr>
          <w:rFonts w:ascii="Times New Roman" w:hAnsi="Times New Roman" w:cs="Times New Roman"/>
          <w:b/>
          <w:bCs/>
          <w:i/>
          <w:iCs/>
          <w:color w:val="3B3838" w:themeColor="background2" w:themeShade="40"/>
          <w:sz w:val="20"/>
          <w:szCs w:val="20"/>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adjustRightInd w:val="0"/>
        <w:snapToGrid w:val="0"/>
        <w:spacing w:line="360" w:lineRule="auto"/>
        <w:jc w:val="left"/>
        <w:rPr>
          <w:rFonts w:ascii="Times New Roman" w:hAnsi="Times New Roman" w:cs="Times New Roman"/>
          <w:b/>
          <w:bCs/>
          <w:color w:val="767171" w:themeColor="background2" w:themeShade="80"/>
          <w:szCs w:val="21"/>
        </w:rPr>
      </w:pPr>
      <w:r>
        <w:rPr>
          <w:rFonts w:ascii="Times New Roman" w:hAnsi="Times New Roman" w:cs="Times New Roman"/>
          <w:b/>
          <w:bCs/>
          <w:color w:val="767171" w:themeColor="background2" w:themeShade="80"/>
          <w:szCs w:val="21"/>
        </w:rPr>
        <w:t>[e.g., 1 Jan 202</w:t>
      </w:r>
      <w:r>
        <w:rPr>
          <w:rFonts w:hint="eastAsia" w:ascii="Times New Roman" w:hAnsi="Times New Roman" w:cs="Times New Roman"/>
          <w:b/>
          <w:bCs/>
          <w:color w:val="767171" w:themeColor="background2" w:themeShade="80"/>
          <w:szCs w:val="21"/>
        </w:rPr>
        <w:t>3</w:t>
      </w:r>
      <w:r>
        <w:rPr>
          <w:rFonts w:ascii="Times New Roman" w:hAnsi="Times New Roman" w:cs="Times New Roman"/>
          <w:b/>
          <w:bCs/>
          <w:color w:val="767171" w:themeColor="background2" w:themeShade="80"/>
          <w:szCs w:val="21"/>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p>
    <w:bookmarkEnd w:id="1"/>
    <w:p>
      <w:pPr>
        <w:adjustRightInd w:val="0"/>
        <w:snapToGrid w:val="0"/>
        <w:spacing w:line="360" w:lineRule="auto"/>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This template shows the manuscript structure that can be used in a </w:t>
      </w:r>
      <w:r>
        <w:rPr>
          <w:rFonts w:hint="eastAsia" w:ascii="Times New Roman" w:hAnsi="Times New Roman" w:cs="Times New Roman"/>
          <w:b/>
          <w:bCs/>
          <w:color w:val="767171" w:themeColor="background2" w:themeShade="80"/>
          <w:sz w:val="20"/>
          <w:szCs w:val="20"/>
        </w:rPr>
        <w:t>Technical Note</w:t>
      </w:r>
      <w:r>
        <w:rPr>
          <w:rFonts w:ascii="Times New Roman" w:hAnsi="Times New Roman" w:cs="Times New Roman"/>
          <w:b/>
          <w:bCs/>
          <w:color w:val="767171" w:themeColor="background2" w:themeShade="80"/>
          <w:sz w:val="20"/>
          <w:szCs w:val="20"/>
        </w:rPr>
        <w:t xml:space="preserve">. Please note that each part has a corresponding style, which authors should follow. </w:t>
      </w:r>
      <w:r>
        <w:rPr>
          <w:rFonts w:hint="eastAsia" w:ascii="Times New Roman" w:hAnsi="Times New Roman" w:cs="Times New Roman"/>
          <w:b/>
          <w:bCs/>
          <w:color w:val="767171" w:themeColor="background2" w:themeShade="80"/>
          <w:sz w:val="20"/>
          <w:szCs w:val="20"/>
        </w:rPr>
        <w:t>T</w:t>
      </w:r>
      <w:r>
        <w:rPr>
          <w:rFonts w:ascii="Times New Roman" w:hAnsi="Times New Roman" w:cs="Times New Roman"/>
          <w:b/>
          <w:bCs/>
          <w:color w:val="767171" w:themeColor="background2" w:themeShade="80"/>
          <w:sz w:val="20"/>
          <w:szCs w:val="20"/>
        </w:rPr>
        <w:t>he fonts in gray show writing requirements.</w:t>
      </w:r>
      <w:r>
        <w:rPr>
          <w:rFonts w:hint="eastAsia" w:ascii="Times New Roman" w:hAnsi="Times New Roman" w:cs="Times New Roman"/>
          <w:b/>
          <w:bCs/>
          <w:color w:val="767171" w:themeColor="background2" w:themeShade="80"/>
          <w:sz w:val="20"/>
          <w:szCs w:val="20"/>
        </w:rPr>
        <w:t xml:space="preserve"> The section titles given are for reference. Other requirements please refer to the </w:t>
      </w:r>
      <w:r>
        <w:fldChar w:fldCharType="begin"/>
      </w:r>
      <w:r>
        <w:instrText xml:space="preserve"> HYPERLINK "https://intellrobot.com/pages/view/author_instructions" </w:instrText>
      </w:r>
      <w:r>
        <w:fldChar w:fldCharType="separate"/>
      </w:r>
      <w:r>
        <w:rPr>
          <w:rStyle w:val="15"/>
          <w:rFonts w:hint="eastAsia"/>
        </w:rPr>
        <w:t>Author Instructions</w:t>
      </w:r>
      <w:r>
        <w:rPr>
          <w:rStyle w:val="15"/>
          <w:rFonts w:hint="eastAsia"/>
        </w:rPr>
        <w:fldChar w:fldCharType="end"/>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For any questions, you may contact the </w:t>
      </w:r>
      <w:r>
        <w:fldChar w:fldCharType="begin"/>
      </w:r>
      <w:r>
        <w:instrText xml:space="preserve"> HYPERLINK "mailto:editorial@intellrobot.com" </w:instrText>
      </w:r>
      <w:r>
        <w:fldChar w:fldCharType="separate"/>
      </w:r>
      <w:r>
        <w:rPr>
          <w:rStyle w:val="15"/>
          <w:rFonts w:ascii="Times New Roman" w:hAnsi="Times New Roman" w:cs="Times New Roman"/>
          <w:b/>
          <w:bCs/>
          <w:color w:val="767171" w:themeColor="background2" w:themeShade="80"/>
          <w:sz w:val="20"/>
          <w:szCs w:val="20"/>
        </w:rPr>
        <w:t>editorial@intellrobot.com</w:t>
      </w:r>
      <w:r>
        <w:rPr>
          <w:rStyle w:val="15"/>
          <w:rFonts w:ascii="Times New Roman" w:hAnsi="Times New Roman" w:cs="Times New Roman"/>
          <w:b/>
          <w:bCs/>
          <w:color w:val="767171" w:themeColor="background2" w:themeShade="80"/>
          <w:sz w:val="20"/>
          <w:szCs w:val="20"/>
        </w:rPr>
        <w:fldChar w:fldCharType="end"/>
      </w:r>
    </w:p>
    <w:p>
      <w:pPr>
        <w:adjustRightInd w:val="0"/>
        <w:snapToGrid w:val="0"/>
        <w:spacing w:line="360" w:lineRule="auto"/>
        <w:jc w:val="left"/>
        <w:rPr>
          <w:rFonts w:ascii="Times New Roman" w:hAnsi="Times New Roman" w:eastAsia="Times New Roman" w:cs="Times New Roman"/>
          <w:iCs/>
          <w:color w:val="7F7F7F" w:themeColor="background1" w:themeShade="80"/>
          <w:sz w:val="24"/>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[Suggestions: No more than 250 words. No citations. Define abbreviations at their first mention]</w:t>
      </w:r>
    </w:p>
    <w:p>
      <w:pPr>
        <w:adjustRightInd w:val="0"/>
        <w:snapToGrid w:val="0"/>
        <w:spacing w:line="360" w:lineRule="auto"/>
        <w:jc w:val="left"/>
        <w:rPr>
          <w:rFonts w:ascii="Times New Roman" w:hAnsi="Times New Roman" w:eastAsia="宋体" w:cs="Times New Roman"/>
          <w:iCs/>
          <w:sz w:val="24"/>
        </w:rPr>
      </w:pPr>
      <w:bookmarkStart w:id="2" w:name="OLE_LINK87"/>
      <w:bookmarkStart w:id="3" w:name="OLE_LINK3"/>
      <w:r>
        <w:rPr>
          <w:rFonts w:ascii="Times New Roman" w:hAnsi="Times New Roman" w:eastAsia="宋体" w:cs="Times New Roman"/>
          <w:iCs/>
          <w:sz w:val="24"/>
        </w:rPr>
        <w:t>The abstract should state briefly the purpose of the research, the principal results and</w:t>
      </w:r>
    </w:p>
    <w:p>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major conclusions.</w:t>
      </w:r>
      <w:bookmarkEnd w:id="2"/>
      <w:r>
        <w:rPr>
          <w:rFonts w:hint="eastAsia" w:ascii="Times New Roman" w:hAnsi="Times New Roman" w:eastAsia="宋体" w:cs="Times New Roman"/>
          <w:iCs/>
          <w:sz w:val="24"/>
        </w:rPr>
        <w:t xml:space="preserve"> Unstructured.</w:t>
      </w:r>
    </w:p>
    <w:p>
      <w:pPr>
        <w:adjustRightInd w:val="0"/>
        <w:snapToGrid w:val="0"/>
        <w:spacing w:line="360" w:lineRule="auto"/>
        <w:jc w:val="left"/>
        <w:rPr>
          <w:rFonts w:ascii="Times New Roman" w:hAnsi="Times New Roman" w:cs="Times New Roman"/>
          <w:b/>
          <w:bCs/>
          <w:i/>
          <w:color w:val="7F7F7F" w:themeColor="background1" w:themeShade="80"/>
          <w:sz w:val="24"/>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4" w:name="_Hlk59626732"/>
      <w:r>
        <w:rPr>
          <w:rFonts w:hint="eastAsia" w:ascii="Times New Roman" w:hAnsi="Times New Roman" w:cs="Times New Roman"/>
          <w:sz w:val="24"/>
        </w:rPr>
        <w:t>Intelligence</w:t>
      </w:r>
      <w:r>
        <w:rPr>
          <w:rFonts w:ascii="Times New Roman" w:hAnsi="Times New Roman" w:cs="Times New Roman"/>
          <w:sz w:val="24"/>
        </w:rPr>
        <w:t xml:space="preserve">, </w:t>
      </w:r>
      <w:r>
        <w:rPr>
          <w:rFonts w:hint="eastAsia" w:ascii="Times New Roman" w:hAnsi="Times New Roman" w:cs="Times New Roman"/>
          <w:sz w:val="24"/>
        </w:rPr>
        <w:t>robotics</w:t>
      </w:r>
      <w:r>
        <w:rPr>
          <w:rFonts w:ascii="Times New Roman" w:hAnsi="Times New Roman" w:cs="Times New Roman"/>
          <w:sz w:val="24"/>
        </w:rPr>
        <w:t xml:space="preserve">, </w:t>
      </w:r>
      <w:bookmarkEnd w:id="4"/>
      <w:r>
        <w:rPr>
          <w:rFonts w:hint="eastAsia" w:ascii="Times New Roman" w:hAnsi="Times New Roman" w:cs="Times New Roman"/>
          <w:sz w:val="24"/>
        </w:rPr>
        <w:t>template, keywords</w:t>
      </w: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[Please </w:t>
      </w:r>
      <w:r>
        <w:rPr>
          <w:rFonts w:hint="eastAsia" w:ascii="Times New Roman" w:hAnsi="Times New Roman" w:cs="Times New Roman"/>
          <w:b/>
          <w:bCs/>
          <w:color w:val="767171" w:themeColor="background2" w:themeShade="80"/>
          <w:sz w:val="20"/>
          <w:szCs w:val="20"/>
        </w:rPr>
        <w:t>provide</w:t>
      </w:r>
      <w:r>
        <w:rPr>
          <w:rFonts w:ascii="Times New Roman" w:hAnsi="Times New Roman" w:cs="Times New Roman"/>
          <w:b/>
          <w:bCs/>
          <w:color w:val="767171" w:themeColor="background2" w:themeShade="80"/>
          <w:sz w:val="20"/>
          <w:szCs w:val="20"/>
        </w:rPr>
        <w:t xml:space="preserve"> 3-</w:t>
      </w:r>
      <w:r>
        <w:rPr>
          <w:rFonts w:hint="eastAsia" w:ascii="Times New Roman" w:hAnsi="Times New Roman" w:cs="Times New Roman"/>
          <w:b/>
          <w:bCs/>
          <w:color w:val="767171" w:themeColor="background2" w:themeShade="80"/>
          <w:sz w:val="20"/>
          <w:szCs w:val="20"/>
        </w:rPr>
        <w:t>8</w:t>
      </w:r>
      <w:r>
        <w:rPr>
          <w:rFonts w:ascii="Times New Roman" w:hAnsi="Times New Roman" w:cs="Times New Roman"/>
          <w:b/>
          <w:bCs/>
          <w:color w:val="767171" w:themeColor="background2" w:themeShade="80"/>
          <w:sz w:val="20"/>
          <w:szCs w:val="20"/>
        </w:rPr>
        <w:t xml:space="preserve"> keywords which can be used for describing the content of the manuscript and will enable the full text of the manuscript to be searchable online</w:t>
      </w:r>
      <w:r>
        <w:rPr>
          <w:rFonts w:hint="eastAsia" w:ascii="Times New Roman" w:hAnsi="Times New Roman" w:cs="Times New Roman"/>
          <w:b/>
          <w:bCs/>
          <w:color w:val="767171" w:themeColor="background2" w:themeShade="80"/>
          <w:sz w:val="20"/>
          <w:szCs w:val="20"/>
        </w:rPr>
        <w:t xml:space="preserve">. Capitalize the first letter of the first keyword and split each keyword by a comma </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 Be sparing with abbreviations: only abbreviations firmly established in the field may be eligible</w:t>
      </w:r>
      <w:r>
        <w:rPr>
          <w:rFonts w:ascii="Times New Roman" w:hAnsi="Times New Roman" w:cs="Times New Roman"/>
          <w:b/>
          <w:bCs/>
          <w:color w:val="767171" w:themeColor="background2" w:themeShade="80"/>
          <w:sz w:val="20"/>
          <w:szCs w:val="20"/>
        </w:rPr>
        <w:t>]</w:t>
      </w:r>
    </w:p>
    <w:p>
      <w:pPr>
        <w:adjustRightInd w:val="0"/>
        <w:snapToGrid w:val="0"/>
        <w:spacing w:line="360" w:lineRule="auto"/>
        <w:jc w:val="left"/>
        <w:rPr>
          <w:rFonts w:ascii="Times New Roman" w:hAnsi="Times New Roman" w:eastAsia="Times New Roman" w:cs="Times New Roman"/>
          <w:i/>
          <w:color w:val="190F13"/>
          <w:sz w:val="24"/>
        </w:rPr>
      </w:pPr>
    </w:p>
    <w:bookmarkEnd w:id="3"/>
    <w:p>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 xml:space="preserve">1. LEVEL ONE HEADING </w:t>
      </w:r>
    </w:p>
    <w:p>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Level one headings should be in bold, all letters</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 xml:space="preserve">1.1. </w:t>
      </w:r>
      <w:r>
        <w:rPr>
          <w:rFonts w:ascii="Times New Roman" w:hAnsi="Times New Roman" w:eastAsia="宋体" w:cs="Times New Roman"/>
          <w:b/>
          <w:bCs/>
          <w:iCs/>
          <w:color w:val="000000"/>
          <w:kern w:val="0"/>
          <w:sz w:val="24"/>
        </w:rPr>
        <w:t>Level 2 heading</w:t>
      </w:r>
      <w:r>
        <w:rPr>
          <w:rFonts w:hint="eastAsia" w:ascii="Times New Roman" w:hAnsi="Times New Roman" w:eastAsia="宋体" w:cs="Times New Roman"/>
          <w:b/>
          <w:bCs/>
          <w:iCs/>
          <w:color w:val="000000"/>
          <w:kern w:val="0"/>
          <w:sz w:val="24"/>
        </w:rPr>
        <w:t xml:space="preserve"> </w:t>
      </w:r>
    </w:p>
    <w:p>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two</w:t>
      </w:r>
      <w:r>
        <w:rPr>
          <w:rFonts w:ascii="Times New Roman" w:hAnsi="Times New Roman" w:cs="Times New Roman"/>
          <w:b/>
          <w:bCs/>
          <w:i/>
          <w:iCs/>
          <w:color w:val="767171" w:themeColor="background2" w:themeShade="80"/>
          <w:sz w:val="20"/>
          <w:szCs w:val="20"/>
        </w:rPr>
        <w:t xml:space="preserve"> headings should be in bold,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p>
    <w:p>
      <w:pPr>
        <w:widowControl/>
        <w:adjustRightInd w:val="0"/>
        <w:snapToGrid w:val="0"/>
        <w:spacing w:line="360" w:lineRule="auto"/>
        <w:jc w:val="left"/>
        <w:rPr>
          <w:rFonts w:ascii="Times New Roman" w:hAnsi="Times New Roman" w:eastAsia="宋体" w:cs="Times New Roman"/>
          <w:i/>
          <w:color w:val="000000"/>
          <w:kern w:val="0"/>
          <w:sz w:val="24"/>
        </w:rPr>
      </w:pPr>
      <w:r>
        <w:rPr>
          <w:rFonts w:hint="eastAsia" w:ascii="Times New Roman" w:hAnsi="Times New Roman" w:eastAsia="宋体" w:cs="Times New Roman"/>
          <w:i/>
          <w:color w:val="000000"/>
          <w:kern w:val="0"/>
          <w:sz w:val="24"/>
        </w:rPr>
        <w:t xml:space="preserve">1.1.1. </w:t>
      </w:r>
      <w:r>
        <w:rPr>
          <w:rFonts w:ascii="Times New Roman" w:hAnsi="Times New Roman" w:eastAsia="宋体" w:cs="Times New Roman"/>
          <w:i/>
          <w:color w:val="000000"/>
          <w:kern w:val="0"/>
          <w:sz w:val="24"/>
        </w:rPr>
        <w:t>Level 3 heading</w:t>
      </w:r>
      <w:r>
        <w:rPr>
          <w:rFonts w:hint="eastAsia" w:ascii="Times New Roman" w:hAnsi="Times New Roman" w:eastAsia="宋体" w:cs="Times New Roman"/>
          <w:i/>
          <w:color w:val="000000"/>
          <w:kern w:val="0"/>
          <w:sz w:val="24"/>
        </w:rPr>
        <w:t xml:space="preserve"> </w:t>
      </w:r>
    </w:p>
    <w:p>
      <w:pPr>
        <w:widowControl/>
        <w:adjustRightInd w:val="0"/>
        <w:snapToGrid w:val="0"/>
        <w:spacing w:line="360" w:lineRule="auto"/>
        <w:jc w:val="left"/>
        <w:rPr>
          <w:rFonts w:ascii="Times New Roman" w:hAnsi="Times New Roman" w:cs="Times New Roman"/>
          <w:b/>
          <w:bCs/>
          <w:color w:val="7F7F7F" w:themeColor="background1" w:themeShade="80"/>
          <w:sz w:val="24"/>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three</w:t>
      </w:r>
      <w:r>
        <w:rPr>
          <w:rFonts w:ascii="Times New Roman" w:hAnsi="Times New Roman" w:cs="Times New Roman"/>
          <w:b/>
          <w:bCs/>
          <w:i/>
          <w:iCs/>
          <w:color w:val="767171" w:themeColor="background2" w:themeShade="80"/>
          <w:sz w:val="20"/>
          <w:szCs w:val="20"/>
        </w:rPr>
        <w:t xml:space="preserve"> headings should be italicized,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pPr>
        <w:widowControl/>
        <w:adjustRightInd w:val="0"/>
        <w:snapToGrid w:val="0"/>
        <w:spacing w:line="360" w:lineRule="auto"/>
        <w:jc w:val="left"/>
        <w:rPr>
          <w:rFonts w:ascii="Times New Roman" w:hAnsi="Times New Roman" w:cs="Times New Roman"/>
          <w:b/>
          <w:bCs/>
          <w:i/>
          <w:iCs/>
          <w:color w:val="7F7F7F" w:themeColor="background1" w:themeShade="80"/>
          <w:sz w:val="24"/>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"https://oaepublish.com/files/tpl/ir/Template_for_Supplementary_Material_ir.docx"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pPr>
        <w:widowControl/>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Results should be presented in a logical sequence;</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Avoid redundant explanations to all the data from the tables or illustrations.</w:t>
      </w:r>
    </w:p>
    <w:p>
      <w:pPr>
        <w:adjustRightInd w:val="0"/>
        <w:snapToGrid w:val="0"/>
        <w:spacing w:line="360" w:lineRule="auto"/>
        <w:jc w:val="left"/>
        <w:rPr>
          <w:rFonts w:ascii="Times New Roman" w:hAnsi="Times New Roman" w:cs="Times New Roman"/>
          <w:b/>
          <w:bCs/>
          <w:i/>
          <w:iCs/>
          <w:color w:val="7F7F7F" w:themeColor="background1" w:themeShade="80"/>
          <w:sz w:val="24"/>
        </w:rPr>
      </w:pPr>
    </w:p>
    <w:p>
      <w:pPr>
        <w:widowControl/>
        <w:adjustRightInd w:val="0"/>
        <w:snapToGrid w:val="0"/>
        <w:spacing w:line="360" w:lineRule="auto"/>
        <w:jc w:val="left"/>
        <w:rPr>
          <w:rFonts w:ascii="Times New Roman" w:hAnsi="Times New Roman"/>
          <w:b/>
          <w:bCs/>
          <w:color w:val="000000"/>
          <w:kern w:val="0"/>
          <w:sz w:val="24"/>
        </w:rPr>
      </w:pPr>
      <w:r>
        <w:rPr>
          <w:rFonts w:ascii="Times New Roman" w:hAnsi="Times New Roman"/>
          <w:b/>
          <w:bCs/>
          <w:kern w:val="0"/>
          <w:sz w:val="24"/>
        </w:rPr>
        <w:t>Table 1</w:t>
      </w:r>
      <w:r>
        <w:rPr>
          <w:rFonts w:hint="eastAsia" w:ascii="Times New Roman" w:hAnsi="Times New Roman"/>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Style w:val="10"/>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3"/>
        <w:gridCol w:w="723"/>
        <w:gridCol w:w="1077"/>
        <w:gridCol w:w="1091"/>
        <w:gridCol w:w="900"/>
        <w:gridCol w:w="1325"/>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shd w:val="clear" w:color="auto" w:fill="auto"/>
            <w:vAlign w:val="center"/>
          </w:tcPr>
          <w:p>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pPr>
        <w:widowControl/>
        <w:adjustRightInd w:val="0"/>
        <w:snapToGrid w:val="0"/>
        <w:spacing w:line="360" w:lineRule="auto"/>
        <w:jc w:val="left"/>
        <w:rPr>
          <w:rFonts w:ascii="Times New Roman" w:hAnsi="Times New Roman"/>
          <w:bCs/>
          <w:color w:val="000000"/>
          <w:kern w:val="0"/>
          <w:sz w:val="24"/>
        </w:rPr>
      </w:pPr>
      <w:r>
        <w:rPr>
          <w:rFonts w:ascii="Times New Roman" w:hAnsi="Times New Roman" w:eastAsia="宋体" w:cs="Times New Roman"/>
          <w:bCs/>
          <w:color w:val="000000"/>
          <w:kern w:val="0"/>
          <w:sz w:val="24"/>
        </w:rPr>
        <w:t>This part is footer.</w:t>
      </w:r>
      <w:r>
        <w:rPr>
          <w:rFonts w:hint="eastAsia" w:ascii="Times New Roman" w:hAnsi="Times New Roman" w:eastAsia="宋体" w:cs="Times New Roman"/>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hint="eastAsia" w:ascii="Times New Roman" w:hAnsi="Times New Roman"/>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pPr>
        <w:widowControl/>
        <w:adjustRightInd w:val="0"/>
        <w:snapToGrid w:val="0"/>
        <w:spacing w:line="360" w:lineRule="auto"/>
        <w:jc w:val="left"/>
        <w:rPr>
          <w:rFonts w:ascii="Times New Roman" w:hAnsi="Times New Roman" w:eastAsia="宋体" w:cs="Times New Roman"/>
          <w:bCs/>
          <w:color w:val="767171" w:themeColor="background2" w:themeShade="80"/>
          <w:kern w:val="0"/>
          <w:sz w:val="24"/>
        </w:rPr>
      </w:pP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color w:val="767171" w:themeColor="background2" w:themeShade="80"/>
          <w:sz w:val="20"/>
          <w:szCs w:val="20"/>
        </w:rPr>
        <w:t>;</w:t>
      </w:r>
    </w:p>
    <w:p>
      <w:pPr>
        <w:numPr>
          <w:ilvl w:val="0"/>
          <w:numId w:val="1"/>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color w:val="767171" w:themeColor="background2" w:themeShade="80"/>
          <w:sz w:val="20"/>
          <w:szCs w:val="20"/>
        </w:rPr>
        <w:t>The font size should not be larger than 12pt and can be adjusted according to the table content.</w:t>
      </w:r>
      <w:r>
        <w:rPr>
          <w:rFonts w:hint="eastAsia" w:ascii="Times New Roman" w:hAnsi="Times New Roman" w:cs="Times New Roman"/>
          <w:b/>
          <w:bCs/>
          <w:i/>
          <w:iCs/>
          <w:color w:val="767171" w:themeColor="background2" w:themeShade="80"/>
          <w:sz w:val="20"/>
          <w:szCs w:val="20"/>
        </w:rPr>
        <w:t xml:space="preserve"> </w:t>
      </w:r>
    </w:p>
    <w:p>
      <w:pPr>
        <w:adjustRightInd w:val="0"/>
        <w:snapToGrid w:val="0"/>
        <w:spacing w:line="360" w:lineRule="auto"/>
        <w:jc w:val="left"/>
        <w:rPr>
          <w:rFonts w:ascii="Times New Roman" w:hAnsi="Times New Roman" w:cs="Times New Roman"/>
          <w:b/>
          <w:bCs/>
          <w:i/>
          <w:iCs/>
          <w:color w:val="7F7F7F"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spacing w:line="360" w:lineRule="auto"/>
              <w:jc w:val="center"/>
              <w:rPr>
                <w:rFonts w:ascii="Times New Roman" w:hAnsi="Times New Roman" w:eastAsia="宋体"/>
                <w:sz w:val="24"/>
              </w:rPr>
            </w:pPr>
            <w:bookmarkStart w:id="5" w:name="OLE_LINK4"/>
            <w:r>
              <w:rPr>
                <w:rFonts w:ascii="Times New Roman" w:hAnsi="Times New Roman" w:eastAsia="宋体"/>
                <w:position w:val="-18"/>
                <w:sz w:val="24"/>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bookmarkEnd w:id="5"/>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color w:val="767171" w:themeColor="background2" w:themeShade="80"/>
          <w:sz w:val="20"/>
          <w:szCs w:val="20"/>
        </w:rPr>
      </w:pPr>
      <w:bookmarkStart w:id="6" w:name="OLE_LINK21"/>
      <w:r>
        <w:rPr>
          <w:rFonts w:ascii="Times New Roman" w:hAnsi="Times New Roman" w:cs="Times New Roman"/>
          <w:b/>
          <w:bCs/>
          <w:color w:val="767171" w:themeColor="background2" w:themeShade="80"/>
          <w:sz w:val="20"/>
          <w:szCs w:val="20"/>
        </w:rPr>
        <w:t>Equation</w:t>
      </w:r>
      <w:bookmarkEnd w:id="6"/>
      <w:r>
        <w:rPr>
          <w:rFonts w:ascii="Times New Roman" w:hAnsi="Times New Roman" w:cs="Times New Roman"/>
          <w:b/>
          <w:bCs/>
          <w:color w:val="767171" w:themeColor="background2" w:themeShade="80"/>
          <w:sz w:val="20"/>
          <w:szCs w:val="20"/>
        </w:rPr>
        <w:t xml:space="preserve"> note:</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Display equations should be numbered consecutively, using Arabic numbers in parentheses. See Equation (1) for an example;</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position w:val="-18"/>
          <w:sz w:val="24"/>
        </w:rPr>
        <w:object>
          <v:shape id="_x0000_i1026" o:spt="75" type="#_x0000_t75" style="height:17pt;width:54.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p>
    <w:tbl>
      <w:tblPr>
        <w:tblStyle w:val="10"/>
        <w:tblW w:w="8844" w:type="dxa"/>
        <w:tblInd w:w="0" w:type="dxa"/>
        <w:tblLayout w:type="fixed"/>
        <w:tblCellMar>
          <w:top w:w="0" w:type="dxa"/>
          <w:left w:w="108" w:type="dxa"/>
          <w:bottom w:w="0" w:type="dxa"/>
          <w:right w:w="108" w:type="dxa"/>
        </w:tblCellMar>
      </w:tblPr>
      <w:tblGrid>
        <w:gridCol w:w="4422"/>
        <w:gridCol w:w="4422"/>
      </w:tblGrid>
      <w:tr>
        <w:tblPrEx>
          <w:tblCellMar>
            <w:top w:w="0" w:type="dxa"/>
            <w:left w:w="108" w:type="dxa"/>
            <w:bottom w:w="0" w:type="dxa"/>
            <w:right w:w="108" w:type="dxa"/>
          </w:tblCellMar>
        </w:tblPrEx>
        <w:tc>
          <w:tcPr>
            <w:tcW w:w="4422" w:type="dxa"/>
            <w:shd w:val="clear" w:color="auto" w:fill="auto"/>
          </w:tcPr>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tblPrEx>
          <w:tblCellMar>
            <w:top w:w="0" w:type="dxa"/>
            <w:left w:w="108" w:type="dxa"/>
            <w:bottom w:w="0" w:type="dxa"/>
            <w:right w:w="108" w:type="dxa"/>
          </w:tblCellMar>
        </w:tblPrEx>
        <w:tc>
          <w:tcPr>
            <w:tcW w:w="8844" w:type="dxa"/>
            <w:gridSpan w:val="2"/>
            <w:shd w:val="clear" w:color="auto" w:fill="auto"/>
          </w:tcPr>
          <w:p>
            <w:pPr>
              <w:adjustRightInd w:val="0"/>
              <w:snapToGrid w:val="0"/>
              <w:jc w:val="center"/>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pPr>
        <w:adjustRightInd w:val="0"/>
        <w:snapToGrid w:val="0"/>
        <w:spacing w:line="360" w:lineRule="auto"/>
        <w:jc w:val="left"/>
        <w:rPr>
          <w:rFonts w:ascii="Times New Roman" w:hAnsi="Times New Roman"/>
          <w:sz w:val="24"/>
          <w:vertAlign w:val="superscript"/>
        </w:rPr>
      </w:pPr>
      <w:r>
        <w:rPr>
          <w:rFonts w:ascii="Times New Roman" w:hAnsi="Times New Roman"/>
          <w:b/>
          <w:color w:val="000000"/>
          <w:kern w:val="0"/>
          <w:sz w:val="24"/>
        </w:rPr>
        <w:t>Figure 1</w:t>
      </w:r>
      <w:r>
        <w:rPr>
          <w:rFonts w:hint="eastAsia" w:ascii="Times New Roman" w:hAnsi="Times New Roman"/>
          <w:b/>
          <w:color w:val="000000"/>
          <w:kern w:val="0"/>
          <w:sz w:val="24"/>
        </w:rPr>
        <w:t>.</w:t>
      </w:r>
      <w:r>
        <w:rPr>
          <w:rFonts w:ascii="Times New Roman" w:hAnsi="Times New Roman"/>
          <w:color w:val="000000"/>
          <w:kern w:val="0"/>
          <w:sz w:val="24"/>
        </w:rPr>
        <w:t xml:space="preserve"> We present examples of</w:t>
      </w:r>
      <w:r>
        <w:rPr>
          <w:rFonts w:hint="eastAsia" w:ascii="Times New Roman" w:hAnsi="Times New Roman"/>
          <w:color w:val="000000"/>
          <w:kern w:val="0"/>
          <w:sz w:val="24"/>
        </w:rPr>
        <w:t xml:space="preserve"> a </w:t>
      </w:r>
      <w:r>
        <w:rPr>
          <w:rFonts w:ascii="Times New Roman" w:hAnsi="Times New Roman"/>
          <w:color w:val="000000"/>
          <w:kern w:val="0"/>
          <w:sz w:val="24"/>
          <w:lang w:val="en-GB"/>
        </w:rPr>
        <w:t xml:space="preserve">Reliability Block Diagram of Air </w:t>
      </w:r>
      <w:r>
        <w:rPr>
          <w:rFonts w:hint="eastAsia" w:ascii="Times New Roman" w:hAnsi="Times New Roman"/>
          <w:color w:val="000000"/>
          <w:kern w:val="0"/>
          <w:sz w:val="24"/>
        </w:rPr>
        <w:t xml:space="preserve">XXX </w:t>
      </w:r>
      <w:r>
        <w:rPr>
          <w:rFonts w:ascii="Times New Roman" w:hAnsi="Times New Roman"/>
          <w:color w:val="000000"/>
          <w:kern w:val="0"/>
          <w:sz w:val="24"/>
          <w:lang w:val="en-GB"/>
        </w:rPr>
        <w:t>airplane crash</w:t>
      </w:r>
      <w:r>
        <w:rPr>
          <w:rFonts w:hint="eastAsia" w:ascii="Times New Roman" w:hAnsi="Times New Roman"/>
          <w:color w:val="000000"/>
          <w:kern w:val="0"/>
          <w:sz w:val="24"/>
        </w:rPr>
        <w:t xml:space="preserve"> in Figure 1A-C</w:t>
      </w:r>
      <w:r>
        <w:rPr>
          <w:rFonts w:ascii="Times New Roman" w:hAnsi="Times New Roman"/>
          <w:sz w:val="24"/>
        </w:rPr>
        <w:t>.</w:t>
      </w:r>
      <w:r>
        <w:rPr>
          <w:rFonts w:hint="eastAsia" w:ascii="Times New Roman" w:hAnsi="Times New Roman"/>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pPr>
        <w:adjustRightInd w:val="0"/>
        <w:snapToGrid w:val="0"/>
        <w:spacing w:line="360" w:lineRule="auto"/>
        <w:jc w:val="left"/>
        <w:rPr>
          <w:rFonts w:ascii="Times New Roman" w:hAnsi="Times New Roman" w:cs="Times New Roman"/>
          <w:sz w:val="24"/>
          <w:vertAlign w:val="superscript"/>
        </w:rPr>
      </w:pPr>
    </w:p>
    <w:p>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pPr>
        <w:numPr>
          <w:ilvl w:val="0"/>
          <w:numId w:val="2"/>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jc w:val="left"/>
        <w:rPr>
          <w:rFonts w:ascii="Times New Roman" w:hAnsi="Times New Roman" w:eastAsia="Times New Roman" w:cs="Times New Roman"/>
          <w:b/>
          <w:bCs/>
          <w:iCs/>
          <w:color w:val="190F13"/>
          <w:sz w:val="24"/>
        </w:rPr>
      </w:pPr>
      <w:bookmarkStart w:id="7" w:name="_Hlk59623292"/>
      <w:bookmarkStart w:id="8" w:name="_Hlk59623241"/>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7"/>
    <w:p>
      <w:pPr>
        <w:widowControl/>
        <w:adjustRightInd w:val="0"/>
        <w:snapToGrid w:val="0"/>
        <w:spacing w:line="360" w:lineRule="auto"/>
        <w:jc w:val="left"/>
        <w:rPr>
          <w:rFonts w:ascii="Times New Roman" w:hAnsi="Times New Roman" w:eastAsia="宋体" w:cs="Times New Roman"/>
          <w:b/>
          <w:bCs/>
          <w:iCs/>
          <w:color w:val="000000"/>
          <w:kern w:val="0"/>
          <w:sz w:val="24"/>
        </w:rPr>
      </w:pPr>
      <w:bookmarkStart w:id="9" w:name="_Hlk59623311"/>
      <w:bookmarkStart w:id="10" w:name="OLE_LINK1"/>
      <w:r>
        <w:rPr>
          <w:rFonts w:ascii="Times New Roman" w:hAnsi="Times New Roman" w:eastAsia="宋体" w:cs="Times New Roman"/>
          <w:b/>
          <w:bCs/>
          <w:iCs/>
          <w:color w:val="000000"/>
          <w:kern w:val="0"/>
          <w:sz w:val="24"/>
        </w:rPr>
        <w:t>Acknowledgments</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b/>
          <w:bCs/>
          <w:sz w:val="24"/>
        </w:rPr>
        <w:t>the criteria</w:t>
      </w:r>
      <w:r>
        <w:rPr>
          <w:rStyle w:val="15"/>
          <w:rFonts w:ascii="Times New Roman" w:hAnsi="Times New Roman" w:cs="Times New Roman"/>
          <w:b/>
          <w:bCs/>
          <w:sz w:val="24"/>
        </w:rPr>
        <w:fldChar w:fldCharType="end"/>
      </w:r>
      <w:r>
        <w:rPr>
          <w:rFonts w:ascii="Times New Roman" w:hAnsi="Times New Roman"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line="360" w:lineRule="auto"/>
        <w:jc w:val="left"/>
        <w:rPr>
          <w:rFonts w:ascii="Times New Roman" w:hAnsi="Times New Roman" w:eastAsia="宋体" w:cs="Times New Roman"/>
          <w:b/>
          <w:bCs/>
          <w:iCs/>
          <w:color w:val="000000"/>
          <w:kern w:val="0"/>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cs="Times New Roman"/>
          <w:iCs/>
          <w:sz w:val="24"/>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w:t>
      </w:r>
      <w:r>
        <w:rPr>
          <w:rFonts w:hint="eastAsia" w:ascii="Times New Roman" w:hAnsi="Times New Roman" w:cs="Times New Roman"/>
          <w:iCs/>
          <w:sz w:val="24"/>
        </w:rPr>
        <w:t>ing</w:t>
      </w:r>
      <w:r>
        <w:rPr>
          <w:rFonts w:ascii="Times New Roman" w:hAnsi="Times New Roman" w:cs="Times New Roman"/>
          <w:iCs/>
          <w:sz w:val="24"/>
        </w:rPr>
        <w:t xml:space="preserve"> administrative, technical, and material support: Castillo N, Young 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w:t>
      </w:r>
      <w:r>
        <w:rPr>
          <w:rFonts w:hint="eastAsia" w:ascii="Times New Roman" w:hAnsi="Times New Roman" w:cs="Times New Roman"/>
          <w:sz w:val="24"/>
        </w:rPr>
        <w:t>s</w:t>
      </w:r>
      <w:r>
        <w:rPr>
          <w:rFonts w:ascii="Times New Roman" w:hAnsi="Times New Roman" w:cs="Times New Roman"/>
          <w:sz w:val="24"/>
        </w:rPr>
        <w:t>, please state “Not applicable.” in this section.</w:t>
      </w:r>
    </w:p>
    <w:p>
      <w:pPr>
        <w:widowControl/>
        <w:adjustRightInd w:val="0"/>
        <w:snapToGrid w:val="0"/>
        <w:spacing w:line="360" w:lineRule="auto"/>
        <w:jc w:val="left"/>
        <w:rPr>
          <w:rFonts w:ascii="Times New Roman" w:hAnsi="Times New Roman" w:cs="Times New Roman"/>
          <w:sz w:val="24"/>
        </w:rPr>
      </w:pPr>
    </w:p>
    <w:p>
      <w:pPr>
        <w:widowControl/>
        <w:adjustRightInd w:val="0"/>
        <w:snapToGrid w:val="0"/>
        <w:jc w:val="both"/>
        <w:rPr>
          <w:rFonts w:hint="eastAsia" w:ascii="Times New Roman" w:hAnsi="Times New Roman" w:cs="Times New Roman"/>
          <w:b/>
          <w:bCs/>
          <w:sz w:val="24"/>
          <w:highlight w:val="yellow"/>
        </w:rPr>
      </w:pPr>
      <w:r>
        <w:rPr>
          <w:rFonts w:hint="eastAsia" w:ascii="Times New Roman" w:hAnsi="Times New Roman" w:cs="Times New Roman"/>
          <w:b/>
          <w:bCs/>
          <w:sz w:val="24"/>
          <w:highlight w:val="yellow"/>
        </w:rPr>
        <w:t>AI and AI-assisted tools Statement</w:t>
      </w:r>
    </w:p>
    <w:p>
      <w:pPr>
        <w:widowControl/>
        <w:adjustRightInd w:val="0"/>
        <w:snapToGrid w:val="0"/>
        <w:jc w:val="both"/>
        <w:rPr>
          <w:rFonts w:hint="eastAsia" w:ascii="Times New Roman" w:hAnsi="Times New Roman" w:cs="Times New Roman"/>
          <w:sz w:val="24"/>
          <w:highlight w:val="yellow"/>
        </w:rPr>
      </w:pPr>
      <w:r>
        <w:rPr>
          <w:rFonts w:hint="eastAsia" w:ascii="Times New Roman" w:hAnsi="Times New Roman" w:cs="Times New Roman"/>
          <w:sz w:val="24"/>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jc w:val="both"/>
        <w:rPr>
          <w:rFonts w:ascii="Times New Roman" w:hAnsi="Times New Roman" w:cs="Times New Roman"/>
          <w:sz w:val="24"/>
          <w:highlight w:val="yellow"/>
        </w:rPr>
      </w:pPr>
      <w:r>
        <w:rPr>
          <w:rFonts w:hint="eastAsia" w:ascii="Times New Roman" w:hAnsi="Times New Roman" w:cs="Times New Roman"/>
          <w:sz w:val="24"/>
          <w:highlight w:val="yellow"/>
        </w:rPr>
        <w:t xml:space="preserve">If the manuscript does not involve this issue, state </w:t>
      </w:r>
      <w:r>
        <w:rPr>
          <w:rFonts w:hint="default" w:ascii="Times New Roman" w:hAnsi="Times New Roman" w:cs="Times New Roman"/>
          <w:sz w:val="24"/>
          <w:highlight w:val="yellow"/>
          <w:lang w:val="en-US" w:eastAsia="zh-CN"/>
        </w:rPr>
        <w:t>“</w:t>
      </w:r>
      <w:r>
        <w:rPr>
          <w:rFonts w:hint="eastAsia" w:ascii="Times New Roman" w:hAnsi="Times New Roman" w:cs="Times New Roman"/>
          <w:sz w:val="24"/>
          <w:highlight w:val="yellow"/>
        </w:rPr>
        <w:t>Not applicable.</w:t>
      </w:r>
      <w:r>
        <w:rPr>
          <w:rFonts w:hint="default" w:ascii="Times New Roman" w:hAnsi="Times New Roman" w:cs="Times New Roman"/>
          <w:sz w:val="24"/>
          <w:highlight w:val="yellow"/>
          <w:lang w:val="en-US" w:eastAsia="zh-CN"/>
        </w:rPr>
        <w:t>”</w:t>
      </w:r>
      <w:r>
        <w:rPr>
          <w:rFonts w:hint="eastAsia" w:ascii="Times New Roman" w:hAnsi="Times New Roman" w:cs="Times New Roman"/>
          <w:sz w:val="24"/>
          <w:highlight w:val="yellow"/>
        </w:rPr>
        <w:t xml:space="preserve"> in this section.</w:t>
      </w:r>
    </w:p>
    <w:p>
      <w:pPr>
        <w:widowControl/>
        <w:adjustRightInd w:val="0"/>
        <w:snapToGrid w:val="0"/>
        <w:spacing w:line="360" w:lineRule="auto"/>
        <w:jc w:val="left"/>
        <w:rPr>
          <w:rFonts w:ascii="Times New Roman" w:hAnsi="Times New Roman" w:cs="Times New Roman"/>
          <w:sz w:val="24"/>
        </w:rPr>
      </w:pPr>
      <w:bookmarkStart w:id="26" w:name="_GoBack"/>
      <w:bookmarkEnd w:id="26"/>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jc w:val="left"/>
        <w:rPr>
          <w:rFonts w:ascii="Times New Roman" w:hAnsi="Times New Roman" w:cs="Times New Roman"/>
          <w:iCs/>
          <w:sz w:val="24"/>
        </w:rPr>
      </w:pPr>
      <w:r>
        <w:rPr>
          <w:rFonts w:ascii="Times New Roman" w:hAnsi="Times New Roman" w:eastAsia="宋体" w:cs="Times New Roman"/>
          <w:kern w:val="0"/>
          <w:sz w:val="24"/>
        </w:rPr>
        <w:t>If there is no grant:</w:t>
      </w:r>
      <w:r>
        <w:rPr>
          <w:rFonts w:hint="eastAsia" w:ascii="Times New Roman" w:hAnsi="Times New Roman" w:eastAsia="宋体" w:cs="Times New Roman"/>
          <w:kern w:val="0"/>
          <w:sz w:val="24"/>
        </w:rPr>
        <w:t xml:space="preserve"> </w:t>
      </w:r>
      <w:r>
        <w:rPr>
          <w:rFonts w:ascii="Times New Roman" w:hAnsi="Times New Roman" w:cs="Times New Roman"/>
          <w:iCs/>
          <w:sz w:val="24"/>
        </w:rPr>
        <w:t>None.</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r>
        <w:rPr>
          <w:rFonts w:hint="eastAsia" w:ascii="Times New Roman" w:hAnsi="Times New Roman" w:cs="Times New Roman"/>
          <w:sz w:val="24"/>
        </w:rPr>
        <w:t xml:space="preserve"> </w:t>
      </w: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Some authors may be bound by confidentiality agreements.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11" w:name="OLE_LINK10"/>
      <w:bookmarkStart w:id="12" w:name="OLE_LINK11"/>
      <w:r>
        <w:rPr>
          <w:rFonts w:ascii="Times New Roman" w:hAnsi="Times New Roman" w:cs="Times New Roman"/>
          <w:sz w:val="24"/>
        </w:rPr>
        <w:t>”</w:t>
      </w:r>
      <w:bookmarkEnd w:id="11"/>
      <w:bookmarkEnd w:id="12"/>
      <w:r>
        <w:rPr>
          <w:rFonts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3" w:name="OLE_LINK13"/>
      <w:bookmarkStart w:id="14" w:name="OLE_LINK12"/>
      <w:r>
        <w:rPr>
          <w:rFonts w:ascii="Times New Roman" w:hAnsi="Times New Roman" w:cs="Times New Roman"/>
          <w:sz w:val="24"/>
        </w:rPr>
        <w:t>“</w:t>
      </w:r>
      <w:bookmarkEnd w:id="13"/>
      <w:bookmarkEnd w:id="14"/>
      <w:r>
        <w:rPr>
          <w:rFonts w:ascii="Times New Roman" w:hAnsi="Times New Roman" w:cs="Times New Roman"/>
          <w:sz w:val="24"/>
        </w:rPr>
        <w:t xml:space="preserve">Conflicts of Interest” in the </w:t>
      </w:r>
      <w:bookmarkStart w:id="15" w:name="OLE_LINK15"/>
      <w:r>
        <w:rPr>
          <w:rStyle w:val="15"/>
          <w:rFonts w:ascii="Times New Roman" w:hAnsi="Times New Roman" w:cs="Times New Roman"/>
          <w:b/>
          <w:bCs/>
          <w:sz w:val="24"/>
        </w:rPr>
        <w:fldChar w:fldCharType="begin"/>
      </w:r>
      <w:r>
        <w:rPr>
          <w:rStyle w:val="15"/>
          <w:rFonts w:ascii="Times New Roman" w:hAnsi="Times New Roman" w:cs="Times New Roman"/>
          <w:b/>
          <w:bCs/>
          <w:sz w:val="24"/>
        </w:rPr>
        <w:instrText xml:space="preserve"> HYPERLINK "https://intellrobot.com/pages/view/editorial_policies" </w:instrText>
      </w:r>
      <w:r>
        <w:rPr>
          <w:rStyle w:val="15"/>
          <w:rFonts w:ascii="Times New Roman" w:hAnsi="Times New Roman" w:cs="Times New Roman"/>
          <w:b/>
          <w:bCs/>
          <w:sz w:val="24"/>
        </w:rP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bookmarkEnd w:id="15"/>
      <w:r>
        <w:rPr>
          <w:rFonts w:ascii="Times New Roman" w:hAnsi="Times New Roman" w:cs="Times New Roman"/>
          <w:sz w:val="24"/>
        </w:rPr>
        <w:t xml:space="preserve"> of </w:t>
      </w:r>
      <w:bookmarkStart w:id="16" w:name="OLE_LINK16"/>
      <w:r>
        <w:rPr>
          <w:rFonts w:hint="eastAsia" w:ascii="Times New Roman" w:hAnsi="Times New Roman" w:cs="Times New Roman"/>
          <w:i/>
          <w:iCs/>
          <w:sz w:val="24"/>
        </w:rPr>
        <w:t>Intelligence &amp; Robotics</w:t>
      </w:r>
      <w:bookmarkEnd w:id="16"/>
      <w:r>
        <w:rPr>
          <w:rFonts w:ascii="Times New Roman" w:hAnsi="Times New Roman" w:cs="Times New Roman"/>
          <w:sz w:val="24"/>
        </w:rPr>
        <w:t xml:space="preserve"> for a full explanation.</w:t>
      </w:r>
    </w:p>
    <w:p>
      <w:pPr>
        <w:widowControl/>
        <w:adjustRightInd w:val="0"/>
        <w:snapToGrid w:val="0"/>
        <w:spacing w:line="360" w:lineRule="auto"/>
        <w:jc w:val="left"/>
        <w:rPr>
          <w:rFonts w:ascii="Times New Roman" w:hAnsi="Times New Roman" w:eastAsia="宋体" w:cs="Times New Roman"/>
          <w:b/>
          <w:bCs/>
          <w:iCs/>
          <w:color w:val="000000"/>
          <w:kern w:val="0"/>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"https://intellrobot.com/pages/view/editorial_policies"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Style w:val="15"/>
          <w:rFonts w:hint="eastAsia" w:ascii="Times New Roman" w:hAnsi="Times New Roman" w:cs="Times New Roman"/>
          <w:b/>
          <w:bCs/>
          <w:sz w:val="24"/>
        </w:rPr>
        <w:t>.</w:t>
      </w:r>
      <w:r>
        <w:rPr>
          <w:rFonts w:hint="eastAsia"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17" w:name="OLE_LINK17"/>
      <w:r>
        <w:rPr>
          <w:rFonts w:ascii="Times New Roman" w:hAnsi="Times New Roman" w:cs="Times New Roman"/>
          <w:sz w:val="24"/>
        </w:rPr>
        <w:t>“</w:t>
      </w:r>
      <w:bookmarkEnd w:id="17"/>
      <w:r>
        <w:rPr>
          <w:rFonts w:ascii="Times New Roman" w:hAnsi="Times New Roman" w:cs="Times New Roman"/>
          <w:sz w:val="24"/>
        </w:rPr>
        <w:t>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3</w:t>
      </w:r>
      <w:r>
        <w:rPr>
          <w:rFonts w:ascii="Times New Roman" w:hAnsi="Times New Roman" w:eastAsia="宋体" w:cs="Times New Roman"/>
          <w:color w:val="000000"/>
          <w:kern w:val="0"/>
          <w:sz w:val="24"/>
        </w:rPr>
        <w:t>.</w:t>
      </w:r>
    </w:p>
    <w:p>
      <w:pPr>
        <w:widowControl/>
        <w:adjustRightInd w:val="0"/>
        <w:snapToGrid w:val="0"/>
        <w:spacing w:line="360" w:lineRule="auto"/>
        <w:jc w:val="left"/>
        <w:rPr>
          <w:rFonts w:ascii="Times New Roman" w:hAnsi="Times New Roman" w:eastAsia="宋体" w:cs="Times New Roman"/>
          <w:color w:val="000000"/>
          <w:kern w:val="0"/>
          <w:sz w:val="24"/>
        </w:rPr>
      </w:pPr>
    </w:p>
    <w:bookmarkEnd w:id="8"/>
    <w:bookmarkEnd w:id="9"/>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10"/>
    <w:p>
      <w:pPr>
        <w:adjustRightInd w:val="0"/>
        <w:snapToGrid w:val="0"/>
        <w:spacing w:line="360" w:lineRule="auto"/>
        <w:jc w:val="left"/>
        <w:rPr>
          <w:rFonts w:ascii="Times New Roman" w:hAnsi="Times New Roman" w:cs="Times New Roman"/>
          <w:sz w:val="24"/>
        </w:rPr>
      </w:pPr>
      <w:bookmarkStart w:id="18"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pPr>
        <w:numPr>
          <w:ilvl w:val="0"/>
          <w:numId w:val="2"/>
        </w:numPr>
        <w:adjustRightInd w:val="0"/>
        <w:snapToGrid w:val="0"/>
        <w:spacing w:line="360" w:lineRule="auto"/>
        <w:ind w:left="0" w:firstLine="0"/>
        <w:jc w:val="left"/>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9" w:name="OLE_LINK22"/>
      <w:r>
        <w:rPr>
          <w:rFonts w:ascii="Times New Roman" w:hAnsi="Times New Roman" w:cs="Times New Roman"/>
          <w:b/>
          <w:bCs/>
          <w:color w:val="767171" w:themeColor="background2" w:themeShade="80"/>
          <w:sz w:val="20"/>
          <w:szCs w:val="20"/>
        </w:rPr>
        <w:t>Each reference should have a corresponding DOI number/website link</w:t>
      </w:r>
      <w:bookmarkEnd w:id="19"/>
      <w:r>
        <w:rPr>
          <w:rFonts w:ascii="Times New Roman" w:hAnsi="Times New Roman" w:cs="Times New Roman"/>
          <w:b/>
          <w:bCs/>
          <w:color w:val="767171" w:themeColor="background2" w:themeShade="80"/>
          <w:sz w:val="20"/>
          <w:szCs w:val="20"/>
        </w:rPr>
        <w:t>;</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hint="eastAsia" w:ascii="Times New Roman" w:hAnsi="Times New Roman" w:cs="Times New Roman"/>
          <w:b/>
          <w:bCs/>
          <w:color w:val="767171" w:themeColor="background2" w:themeShade="80"/>
          <w:sz w:val="20"/>
          <w:szCs w:val="20"/>
        </w:rPr>
        <w:t>;</w:t>
      </w:r>
    </w:p>
    <w:p>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20" w:name="OLE_LINK6"/>
      <w:r>
        <w:rPr>
          <w:rFonts w:ascii="Times New Roman" w:hAnsi="Times New Roman"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cs="Times New Roman"/>
          <w:b/>
          <w:bCs/>
          <w:color w:val="767171" w:themeColor="background2" w:themeShade="80"/>
          <w:sz w:val="20"/>
          <w:szCs w:val="20"/>
        </w:rPr>
        <w:t>List of Title Word Abbreviations</w:t>
      </w:r>
      <w:r>
        <w:rPr>
          <w:rFonts w:ascii="Times New Roman" w:hAnsi="Times New Roman" w:cs="Times New Roman"/>
          <w:b/>
          <w:bCs/>
          <w:color w:val="767171" w:themeColor="background2" w:themeShade="80"/>
          <w:sz w:val="20"/>
          <w:szCs w:val="20"/>
        </w:rPr>
        <w:fldChar w:fldCharType="end"/>
      </w:r>
      <w:r>
        <w:rPr>
          <w:rFonts w:ascii="Times New Roman" w:hAnsi="Times New Roman" w:cs="Times New Roman"/>
          <w:b/>
          <w:bCs/>
          <w:color w:val="767171" w:themeColor="background2" w:themeShade="80"/>
          <w:sz w:val="20"/>
          <w:szCs w:val="20"/>
        </w:rPr>
        <w:t xml:space="preserve"> (</w:t>
      </w:r>
      <w:r>
        <w:fldChar w:fldCharType="begin"/>
      </w:r>
      <w:r>
        <w:instrText xml:space="preserve"> HYPERLINK "https://www.issn.org/services/online-services/access-to-the-ltwa/" </w:instrText>
      </w:r>
      <w:r>
        <w:fldChar w:fldCharType="separate"/>
      </w:r>
      <w:r>
        <w:rPr>
          <w:rStyle w:val="15"/>
          <w:rFonts w:ascii="Times New Roman" w:hAnsi="Times New Roman" w:cs="Times New Roman"/>
        </w:rPr>
        <w:t>https://www.issn.org/services/online-services/access-to-the-ltwa/</w:t>
      </w:r>
      <w:r>
        <w:rPr>
          <w:rStyle w:val="15"/>
          <w:rFonts w:ascii="Times New Roman" w:hAnsi="Times New Roman" w:cs="Times New Roman"/>
        </w:rPr>
        <w:fldChar w:fldCharType="end"/>
      </w:r>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bookmarkEnd w:id="20"/>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Style w:val="15"/>
          <w:rFonts w:ascii="Times New Roman" w:hAnsi="Times New Roman" w:cs="Times New Roman"/>
          <w:color w:val="auto"/>
          <w:sz w:val="24"/>
          <w:u w:val="none"/>
        </w:rPr>
      </w:pPr>
      <w:bookmarkStart w:id="21" w:name="OLE_LINK19"/>
      <w:r>
        <w:rPr>
          <w:rFonts w:ascii="Times New Roman" w:hAnsi="Times New Roman" w:cs="Times New Roman"/>
          <w:sz w:val="24"/>
        </w:rPr>
        <w:t>Examples of references are shown below:</w:t>
      </w:r>
      <w:bookmarkStart w:id="22" w:name="OLE_LINK7"/>
    </w:p>
    <w:p>
      <w:pPr>
        <w:adjustRightInd w:val="0"/>
        <w:snapToGrid w:val="0"/>
        <w:spacing w:line="360" w:lineRule="auto"/>
        <w:jc w:val="left"/>
        <w:rPr>
          <w:rStyle w:val="15"/>
          <w:rFonts w:ascii="Times New Roman" w:hAnsi="Times New Roman" w:cs="Times New Roman"/>
          <w:sz w:val="24"/>
        </w:rPr>
      </w:pPr>
    </w:p>
    <w:bookmarkEnd w:id="18"/>
    <w:bookmarkEnd w:id="21"/>
    <w:bookmarkEnd w:id="22"/>
    <w:p>
      <w:pPr>
        <w:widowControl/>
        <w:tabs>
          <w:tab w:val="left" w:pos="5094"/>
        </w:tabs>
        <w:adjustRightInd w:val="0"/>
        <w:snapToGrid w:val="0"/>
        <w:rPr>
          <w:rFonts w:ascii="Times New Roman" w:hAnsi="Times New Roman" w:cs="Times New Roman"/>
          <w:b/>
          <w:bCs/>
          <w:color w:val="808080"/>
          <w:sz w:val="20"/>
          <w:szCs w:val="20"/>
        </w:rPr>
      </w:pPr>
      <w:bookmarkStart w:id="23" w:name="OLE_LINK18"/>
      <w:r>
        <w:rPr>
          <w:rFonts w:ascii="Times New Roman" w:hAnsi="Times New Roman" w:cs="Times New Roman"/>
          <w:b/>
          <w:bCs/>
          <w:color w:val="808080"/>
          <w:sz w:val="20"/>
          <w:szCs w:val="20"/>
        </w:rPr>
        <w:t>Journal articles by individual authors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Weaver,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L.; Ashikaga, T.; Krag, D.</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N. Effect of occult metastases on survival in node-negative breast cancer. </w:t>
      </w:r>
      <w:r>
        <w:rPr>
          <w:rFonts w:ascii="Times New Roman" w:hAnsi="Times New Roman" w:cs="Times New Roman"/>
          <w:b/>
          <w:bCs/>
          <w:i/>
          <w:iCs/>
          <w:color w:val="808080"/>
          <w:sz w:val="20"/>
          <w:szCs w:val="20"/>
        </w:rPr>
        <w:t>N. Engl. J. Med.</w:t>
      </w:r>
      <w:r>
        <w:rPr>
          <w:rFonts w:ascii="Times New Roman" w:hAnsi="Times New Roman" w:cs="Times New Roman"/>
          <w:b/>
          <w:bCs/>
          <w:color w:val="808080"/>
          <w:sz w:val="20"/>
          <w:szCs w:val="20"/>
        </w:rPr>
        <w:t xml:space="preserve"> 2011, </w:t>
      </w:r>
      <w:r>
        <w:rPr>
          <w:rFonts w:ascii="Times New Roman" w:hAnsi="Times New Roman" w:cs="Times New Roman"/>
          <w:b/>
          <w:bCs/>
          <w:i/>
          <w:iCs/>
          <w:color w:val="808080"/>
          <w:sz w:val="20"/>
          <w:szCs w:val="20"/>
        </w:rPr>
        <w:t>364</w:t>
      </w:r>
      <w:r>
        <w:rPr>
          <w:rFonts w:ascii="Times New Roman" w:hAnsi="Times New Roman" w:cs="Times New Roman"/>
          <w:b/>
          <w:bCs/>
          <w:color w:val="808080"/>
          <w:sz w:val="20"/>
          <w:szCs w:val="20"/>
        </w:rPr>
        <w:t>, 412-421. DOI: 10.1056/NEJMoa1008108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Diabetes Prevention Program Research Group. Hypertension, insulin, and proinsulin in participants with impaired glucose tolerance. </w:t>
      </w:r>
      <w:r>
        <w:rPr>
          <w:rFonts w:ascii="Times New Roman" w:hAnsi="Times New Roman" w:cs="Times New Roman"/>
          <w:b/>
          <w:bCs/>
          <w:i/>
          <w:iCs/>
          <w:color w:val="808080"/>
          <w:sz w:val="20"/>
          <w:szCs w:val="20"/>
        </w:rPr>
        <w:t>Hypertension</w:t>
      </w:r>
      <w:r>
        <w:rPr>
          <w:rFonts w:ascii="Times New Roman" w:hAnsi="Times New Roman" w:cs="Times New Roman"/>
          <w:b/>
          <w:bCs/>
          <w:color w:val="808080"/>
          <w:sz w:val="20"/>
          <w:szCs w:val="20"/>
        </w:rPr>
        <w:t xml:space="preserve"> 2002, </w:t>
      </w:r>
      <w:r>
        <w:rPr>
          <w:rFonts w:ascii="Times New Roman" w:hAnsi="Times New Roman" w:cs="Times New Roman"/>
          <w:b/>
          <w:bCs/>
          <w:i/>
          <w:iCs/>
          <w:color w:val="808080"/>
          <w:sz w:val="20"/>
          <w:szCs w:val="20"/>
        </w:rPr>
        <w:t>40</w:t>
      </w:r>
      <w:r>
        <w:rPr>
          <w:rFonts w:ascii="Times New Roman" w:hAnsi="Times New Roman" w:cs="Times New Roman"/>
          <w:b/>
          <w:bCs/>
          <w:color w:val="808080"/>
          <w:sz w:val="20"/>
          <w:szCs w:val="20"/>
        </w:rPr>
        <w:t>, 679-686. DOI: 10.1161/01.HYP.0000035706.28494.09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Both personal authors and organization as author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Vallancien, G.; Emberton, M.; Harving, N.; van Moorselaar, R.</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J.; Alf-One Study Group. Sexual dysfunction in 1,274 European men suffering from lower urinary tract symptoms</w:t>
      </w:r>
      <w:r>
        <w:rPr>
          <w:rFonts w:ascii="Times New Roman" w:hAnsi="Times New Roman" w:cs="Times New Roman"/>
          <w:b/>
          <w:bCs/>
          <w:i/>
          <w:iCs/>
          <w:color w:val="808080"/>
          <w:sz w:val="20"/>
          <w:szCs w:val="20"/>
        </w:rPr>
        <w:t>.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Urol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w:t>
      </w:r>
      <w:r>
        <w:rPr>
          <w:rFonts w:ascii="Times New Roman" w:hAnsi="Times New Roman" w:cs="Times New Roman"/>
          <w:b/>
          <w:bCs/>
          <w:color w:val="808080"/>
          <w:sz w:val="20"/>
          <w:szCs w:val="20"/>
        </w:rPr>
        <w:t>2003</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169</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2257-</w:t>
      </w:r>
      <w:r>
        <w:rPr>
          <w:rFonts w:hint="eastAsia" w:ascii="Times New Roman" w:hAnsi="Times New Roman" w:cs="Times New Roman"/>
          <w:b/>
          <w:bCs/>
          <w:color w:val="808080"/>
          <w:sz w:val="20"/>
          <w:szCs w:val="20"/>
        </w:rPr>
        <w:t>22</w:t>
      </w:r>
      <w:r>
        <w:rPr>
          <w:rFonts w:ascii="Times New Roman" w:hAnsi="Times New Roman" w:cs="Times New Roman"/>
          <w:b/>
          <w:bCs/>
          <w:color w:val="808080"/>
          <w:sz w:val="20"/>
          <w:szCs w:val="20"/>
        </w:rPr>
        <w:t>61. DOI: 10.1097/01.ju.0000067940.76090.73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not in English</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Zhang X.; Xiong H.; Ji T.</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Y.; Zhang Y.</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H.; Wang Y. Case report of anti-N-methyl-D-aspartate receptor encephalitis in child.</w:t>
      </w:r>
      <w:r>
        <w:rPr>
          <w:rFonts w:ascii="Times New Roman" w:hAnsi="Times New Roman" w:cs="Times New Roman"/>
          <w:b/>
          <w:bCs/>
          <w:i/>
          <w:iCs/>
          <w:color w:val="808080"/>
          <w:sz w:val="20"/>
          <w:szCs w:val="20"/>
        </w:rPr>
        <w:t xml:space="preserve"> J</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Appl</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Clin</w:t>
      </w:r>
      <w:r>
        <w:rPr>
          <w:rFonts w:hint="eastAsia" w:ascii="Times New Roman" w:hAnsi="Times New Roman" w:cs="Times New Roman"/>
          <w:b/>
          <w:bCs/>
          <w:i/>
          <w:iCs/>
          <w:color w:val="808080"/>
          <w:sz w:val="20"/>
          <w:szCs w:val="20"/>
        </w:rPr>
        <w:t>.</w:t>
      </w:r>
      <w:r>
        <w:rPr>
          <w:rFonts w:ascii="Times New Roman" w:hAnsi="Times New Roman" w:cs="Times New Roman"/>
          <w:b/>
          <w:bCs/>
          <w:i/>
          <w:iCs/>
          <w:color w:val="808080"/>
          <w:sz w:val="20"/>
          <w:szCs w:val="20"/>
        </w:rPr>
        <w:t xml:space="preserve"> Pediatr</w:t>
      </w:r>
      <w:r>
        <w:rPr>
          <w:rFonts w:hint="eastAsia" w:ascii="Times New Roman" w:hAnsi="Times New Roman" w:cs="Times New Roman"/>
          <w:b/>
          <w:bCs/>
          <w:i/>
          <w:iCs/>
          <w:color w:val="808080"/>
          <w:sz w:val="20"/>
          <w:szCs w:val="20"/>
        </w:rPr>
        <w:t>.</w:t>
      </w:r>
      <w:r>
        <w:rPr>
          <w:rFonts w:ascii="Times New Roman" w:hAnsi="Times New Roman" w:cs="Times New Roman"/>
          <w:b/>
          <w:bCs/>
          <w:color w:val="808080"/>
          <w:sz w:val="20"/>
          <w:szCs w:val="20"/>
        </w:rPr>
        <w:t> 2012</w:t>
      </w:r>
      <w:r>
        <w:rPr>
          <w:rFonts w:hint="eastAsia" w:ascii="Times New Roman" w:hAnsi="Times New Roman" w:cs="Times New Roman"/>
          <w:b/>
          <w:bCs/>
          <w:color w:val="808080"/>
          <w:sz w:val="20"/>
          <w:szCs w:val="20"/>
        </w:rPr>
        <w:t xml:space="preserve">, </w:t>
      </w:r>
      <w:r>
        <w:rPr>
          <w:rFonts w:ascii="Times New Roman" w:hAnsi="Times New Roman" w:cs="Times New Roman"/>
          <w:b/>
          <w:bCs/>
          <w:i/>
          <w:iCs/>
          <w:color w:val="808080"/>
          <w:sz w:val="20"/>
          <w:szCs w:val="20"/>
        </w:rPr>
        <w:t>27</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1903-</w:t>
      </w:r>
      <w:r>
        <w:rPr>
          <w:rFonts w:hint="eastAsia" w:ascii="Times New Roman" w:hAnsi="Times New Roman" w:cs="Times New Roman"/>
          <w:b/>
          <w:bCs/>
          <w:color w:val="808080"/>
          <w:sz w:val="20"/>
          <w:szCs w:val="20"/>
        </w:rPr>
        <w:t>190</w:t>
      </w:r>
      <w:r>
        <w:rPr>
          <w:rFonts w:ascii="Times New Roman" w:hAnsi="Times New Roman" w:cs="Times New Roman"/>
          <w:b/>
          <w:bCs/>
          <w:color w:val="808080"/>
          <w:sz w:val="20"/>
          <w:szCs w:val="20"/>
        </w:rPr>
        <w:t>7. (in Chinese)</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Journal articles ahead of print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Odibo</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A</w:t>
      </w:r>
      <w:r>
        <w:rPr>
          <w:rFonts w:hint="eastAsia" w:ascii="Times New Roman" w:hAnsi="Times New Roman" w:cs="Times New Roman"/>
          <w:b/>
          <w:bCs/>
          <w:color w:val="808080"/>
          <w:sz w:val="20"/>
          <w:szCs w:val="20"/>
        </w:rPr>
        <w:t xml:space="preserve">. </w:t>
      </w:r>
      <w:r>
        <w:rPr>
          <w:rFonts w:ascii="Times New Roman" w:hAnsi="Times New Roman" w:cs="Times New Roman"/>
          <w:b/>
          <w:bCs/>
          <w:color w:val="808080"/>
          <w:sz w:val="20"/>
          <w:szCs w:val="20"/>
        </w:rPr>
        <w:t xml:space="preserve">O. Falling stillbirth and neonatal mortality rates in twin gestation: not a reason for complacency. </w:t>
      </w:r>
      <w:r>
        <w:rPr>
          <w:rFonts w:ascii="Times New Roman" w:hAnsi="Times New Roman" w:cs="Times New Roman"/>
          <w:b/>
          <w:bCs/>
          <w:i/>
          <w:iCs/>
          <w:color w:val="808080"/>
          <w:sz w:val="20"/>
          <w:szCs w:val="20"/>
        </w:rPr>
        <w:t>BJOG</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2018</w:t>
      </w:r>
      <w:r>
        <w:rPr>
          <w:rFonts w:hint="eastAsia" w:ascii="Times New Roman" w:hAnsi="Times New Roman" w:cs="Times New Roman"/>
          <w:b/>
          <w:bCs/>
          <w:color w:val="808080"/>
          <w:sz w:val="20"/>
          <w:szCs w:val="20"/>
        </w:rPr>
        <w:t>,</w:t>
      </w:r>
      <w:r>
        <w:rPr>
          <w:rFonts w:ascii="Times New Roman" w:hAnsi="Times New Roman" w:cs="Times New Roman"/>
          <w:b/>
          <w:bCs/>
          <w:color w:val="808080"/>
          <w:sz w:val="20"/>
          <w:szCs w:val="20"/>
        </w:rPr>
        <w:t xml:space="preserve"> Epub ahead of print [DOI: 10.1111/1471-0528.15541]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Oxford University Press, 2015. DOI: 10.1093/acprof:oso/9780198738671.001.0001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Book in print</w:t>
      </w:r>
      <w:r>
        <w:rPr>
          <w:rFonts w:hint="eastAsia" w:ascii="Times New Roman" w:hAnsi="Times New Roman" w:cs="Times New Roman"/>
          <w:b/>
          <w:bCs/>
          <w:color w:val="808080"/>
          <w:sz w:val="20"/>
          <w:szCs w:val="20"/>
        </w:rPr>
        <w:t xml:space="preserve"> </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 xml:space="preserve">Frankel, F. </w:t>
      </w:r>
      <w:r>
        <w:rPr>
          <w:rFonts w:ascii="Times New Roman" w:hAnsi="Times New Roman" w:cs="Times New Roman"/>
          <w:b/>
          <w:bCs/>
          <w:i/>
          <w:iCs/>
          <w:color w:val="808080"/>
          <w:sz w:val="20"/>
          <w:szCs w:val="20"/>
        </w:rPr>
        <w:t>Picturing Science and Engineering</w:t>
      </w:r>
      <w:r>
        <w:rPr>
          <w:rFonts w:ascii="Times New Roman" w:hAnsi="Times New Roman" w:cs="Times New Roman"/>
          <w:b/>
          <w:bCs/>
          <w:color w:val="808080"/>
          <w:sz w:val="20"/>
          <w:szCs w:val="20"/>
        </w:rPr>
        <w:t>; MIT Press, 2018.</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chapter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Hammond, C. Crystal Symmetry. In </w:t>
      </w:r>
      <w:r>
        <w:rPr>
          <w:rFonts w:ascii="Times New Roman" w:hAnsi="Times New Roman" w:cs="Times New Roman"/>
          <w:b/>
          <w:bCs/>
          <w:i/>
          <w:iCs/>
          <w:color w:val="808080"/>
          <w:sz w:val="20"/>
          <w:szCs w:val="20"/>
        </w:rPr>
        <w:t>The Basics of Crystallography and Diffraction</w:t>
      </w:r>
      <w:r>
        <w:rPr>
          <w:rFonts w:ascii="Times New Roman" w:hAnsi="Times New Roman" w:cs="Times New Roman"/>
          <w:b/>
          <w:bCs/>
          <w:color w:val="808080"/>
          <w:sz w:val="20"/>
          <w:szCs w:val="20"/>
        </w:rPr>
        <w:t>, 4th ed.; International Union of Crystallography Texts on Crystallography, Vol. 21; Oxford University Press, 2015; pp 99−134. DOI: 10.1093/acprof:oso/9780198738671.003.0004</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with editors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Mom the Chemistry Professor: Personal Accounts and Advice from Chemistry Professors Who Are Mothers</w:t>
      </w:r>
      <w:r>
        <w:rPr>
          <w:rFonts w:ascii="Times New Roman" w:hAnsi="Times New Roman" w:cs="Times New Roman"/>
          <w:b/>
          <w:bCs/>
          <w:color w:val="808080"/>
          <w:sz w:val="20"/>
          <w:szCs w:val="20"/>
        </w:rPr>
        <w:t>, 2nd ed.; Woznack, K., Charlebois, A., Cole, R. S., Marzabadi, C. H., Webster, G., Eds.; Springer, 2018. DOI: 10.1007/978-3-319-78972-9</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ebook series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Gaede, H. C. Professional Development for REU Students. In </w:t>
      </w:r>
      <w:r>
        <w:rPr>
          <w:rFonts w:ascii="Times New Roman" w:hAnsi="Times New Roman" w:cs="Times New Roman"/>
          <w:b/>
          <w:bCs/>
          <w:i/>
          <w:iCs/>
          <w:color w:val="808080"/>
          <w:sz w:val="20"/>
          <w:szCs w:val="20"/>
        </w:rPr>
        <w:t>Best Practices for Chemistry REU Programs</w:t>
      </w:r>
      <w:r>
        <w:rPr>
          <w:rFonts w:ascii="Times New Roman" w:hAnsi="Times New Roman" w:cs="Times New Roman"/>
          <w:b/>
          <w:bCs/>
          <w:color w:val="808080"/>
          <w:sz w:val="20"/>
          <w:szCs w:val="20"/>
        </w:rPr>
        <w:t>; Griep, M. A, Watkins, L., Eds.; ACS Symposium Series, Vol. 1295; American Chemical Society, 2018; pp 33−44. DOI: 10.1021/bk-2018-1295.ch003</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Cable, M. L. Life in Extreme Environments: Lanthanide-Based Detection of Bacterial Spores and Other Sensor Design Pursuits. Ph.D. Dissertation, California Institute of Technology, Pasadena, CA, 2010. http://resolver.caltech.edu/CaltechTHESIS:05102010-145436548 (accessed 2019-09-10).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Thesis or dissertation in 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Enander, R. T. Lead particulate and methylene chloride risks in automotive refinishing. Ph.D. Thesis, Tufts University, Medford, MA, 2001.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Website</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i/>
          <w:iCs/>
          <w:color w:val="808080"/>
          <w:sz w:val="20"/>
          <w:szCs w:val="20"/>
        </w:rPr>
        <w:t>World Health Organization</w:t>
      </w:r>
      <w:r>
        <w:rPr>
          <w:rFonts w:ascii="Times New Roman" w:hAnsi="Times New Roman" w:cs="Times New Roman"/>
          <w:b/>
          <w:bCs/>
          <w:i/>
          <w:iCs/>
          <w:color w:val="808080"/>
          <w:sz w:val="20"/>
          <w:szCs w:val="20"/>
        </w:rPr>
        <w:t xml:space="preserve"> Home Page</w:t>
      </w:r>
      <w:r>
        <w:rPr>
          <w:rFonts w:ascii="Times New Roman" w:hAnsi="Times New Roman" w:cs="Times New Roman"/>
          <w:b/>
          <w:bCs/>
          <w:color w:val="808080"/>
          <w:sz w:val="20"/>
          <w:szCs w:val="20"/>
        </w:rPr>
        <w:t>. https://www.who.int/ (accessed 2019-02-21).</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Newspaper</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Beauge, J. School district sued over burns girl suffered during chemistry class demonstration. </w:t>
      </w:r>
      <w:r>
        <w:rPr>
          <w:rFonts w:ascii="Times New Roman" w:hAnsi="Times New Roman" w:cs="Times New Roman"/>
          <w:b/>
          <w:bCs/>
          <w:i/>
          <w:iCs/>
          <w:color w:val="808080"/>
          <w:sz w:val="20"/>
          <w:szCs w:val="20"/>
        </w:rPr>
        <w:t>PennLive (Harrisburg, PA)</w:t>
      </w:r>
      <w:r>
        <w:rPr>
          <w:rFonts w:ascii="Times New Roman" w:hAnsi="Times New Roman" w:cs="Times New Roman"/>
          <w:b/>
          <w:bCs/>
          <w:color w:val="808080"/>
          <w:sz w:val="20"/>
          <w:szCs w:val="20"/>
        </w:rPr>
        <w:t>, November 17, 2018, updated November 17, 2018. https://www.pennlive.com/news/2018/11/school_district_sued_over_burn.html (accessed 2019-02-22).</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abstract</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Okita, J.; Iwamoto, T.; Kira, M. Novel synthetic route for hydrosilyllithiums. In </w:t>
      </w:r>
      <w:r>
        <w:rPr>
          <w:rFonts w:ascii="Times New Roman" w:hAnsi="Times New Roman" w:cs="Times New Roman"/>
          <w:b/>
          <w:bCs/>
          <w:i/>
          <w:iCs/>
          <w:color w:val="808080"/>
          <w:sz w:val="20"/>
          <w:szCs w:val="20"/>
        </w:rPr>
        <w:t>Book of Abstracts, 2000 International Chemical Congress of Pacific Basin Societies (PACIFICHEM 2000)</w:t>
      </w:r>
      <w:r>
        <w:rPr>
          <w:rFonts w:ascii="Times New Roman" w:hAnsi="Times New Roman" w:cs="Times New Roman"/>
          <w:b/>
          <w:bCs/>
          <w:color w:val="808080"/>
          <w:sz w:val="20"/>
          <w:szCs w:val="20"/>
        </w:rPr>
        <w:t>, Honolulu, HI; Paper INOR 216.</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Conference proceedings</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Nilsson, A.; Petersson, F.; Persson, H. W.; Jönsson, H.; Laurell, T. Manipulation of suspended particles in a laminar flow. In </w:t>
      </w:r>
      <w:r>
        <w:rPr>
          <w:rFonts w:ascii="Times New Roman" w:hAnsi="Times New Roman" w:cs="Times New Roman"/>
          <w:b/>
          <w:bCs/>
          <w:i/>
          <w:iCs/>
          <w:color w:val="808080"/>
          <w:sz w:val="20"/>
          <w:szCs w:val="20"/>
        </w:rPr>
        <w:t>Micro Total Analysis Systems 2002, Proceedings of the μTAS 2002 Symposium</w:t>
      </w:r>
      <w:r>
        <w:rPr>
          <w:rFonts w:ascii="Times New Roman" w:hAnsi="Times New Roman" w:cs="Times New Roman"/>
          <w:b/>
          <w:bCs/>
          <w:color w:val="808080"/>
          <w:sz w:val="20"/>
          <w:szCs w:val="20"/>
        </w:rPr>
        <w:t>, Nara, Japan, November 3−7, 2002; Baba, Y., Shoji, S., van den Berg, A., Eds.; Kluwer Academic Publishers: Dordrecht, The Netherlands, 2002; Vol. 2, pp 751−753. DOI: 10.1007/978-94-010-0504-3_50</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Database</w:t>
      </w: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i/>
          <w:iCs/>
          <w:color w:val="808080"/>
          <w:sz w:val="20"/>
          <w:szCs w:val="20"/>
        </w:rPr>
        <w:t>SpectraBase</w:t>
      </w:r>
      <w:r>
        <w:rPr>
          <w:rFonts w:ascii="Times New Roman" w:hAnsi="Times New Roman" w:cs="Times New Roman"/>
          <w:b/>
          <w:bCs/>
          <w:color w:val="808080"/>
          <w:sz w:val="20"/>
          <w:szCs w:val="20"/>
        </w:rPr>
        <w:t>. Bio-Rad Laboratories. https://spectrabase.com/ (accessed 2020-01-05).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Patent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Stern, M. K.; Cheng, B. K. M. Process for preparing N-(p-nitroaryl)amides via reaction of nitrobenzene with nitriles. US 5380946, 1995.</w:t>
      </w:r>
    </w:p>
    <w:p>
      <w:pPr>
        <w:widowControl/>
        <w:tabs>
          <w:tab w:val="left" w:pos="5094"/>
        </w:tabs>
        <w:adjustRightInd w:val="0"/>
        <w:snapToGrid w:val="0"/>
        <w:rPr>
          <w:rFonts w:ascii="Times New Roman" w:hAnsi="Times New Roman" w:cs="Times New Roman"/>
          <w:b/>
          <w:bCs/>
          <w:color w:val="808080"/>
          <w:sz w:val="20"/>
          <w:szCs w:val="20"/>
        </w:rPr>
      </w:pPr>
    </w:p>
    <w:p>
      <w:pPr>
        <w:widowControl/>
        <w:tabs>
          <w:tab w:val="left" w:pos="5094"/>
        </w:tabs>
        <w:adjustRightInd w:val="0"/>
        <w:snapToGrid w:val="0"/>
        <w:rPr>
          <w:rFonts w:ascii="Times New Roman" w:hAnsi="Times New Roman" w:cs="Times New Roman"/>
          <w:b/>
          <w:bCs/>
          <w:color w:val="808080"/>
          <w:sz w:val="20"/>
          <w:szCs w:val="20"/>
        </w:rPr>
      </w:pPr>
      <w:r>
        <w:rPr>
          <w:rFonts w:ascii="Times New Roman" w:hAnsi="Times New Roman" w:cs="Times New Roman"/>
          <w:b/>
          <w:bCs/>
          <w:color w:val="808080"/>
          <w:sz w:val="20"/>
          <w:szCs w:val="20"/>
        </w:rPr>
        <w:t>Preprint</w:t>
      </w:r>
    </w:p>
    <w:p>
      <w:pPr>
        <w:widowControl/>
        <w:tabs>
          <w:tab w:val="left" w:pos="5094"/>
        </w:tabs>
        <w:adjustRightInd w:val="0"/>
        <w:snapToGrid w:val="0"/>
        <w:rPr>
          <w:rFonts w:ascii="Times New Roman" w:hAnsi="Times New Roman" w:cs="Times New Roman"/>
          <w:b/>
          <w:bCs/>
          <w:color w:val="808080"/>
          <w:sz w:val="20"/>
          <w:szCs w:val="20"/>
        </w:rPr>
      </w:pPr>
      <w:r>
        <w:rPr>
          <w:rFonts w:hint="eastAsia" w:ascii="Times New Roman" w:hAnsi="Times New Roman" w:cs="Times New Roman"/>
          <w:b/>
          <w:bCs/>
          <w:color w:val="808080"/>
          <w:sz w:val="20"/>
          <w:szCs w:val="20"/>
        </w:rPr>
        <w:t>Yamamoto T. S.; Inui R.; Tada Y.; Yokoyama S</w:t>
      </w:r>
      <w:r>
        <w:rPr>
          <w:rFonts w:ascii="Times New Roman" w:hAnsi="Times New Roman" w:cs="Times New Roman"/>
          <w:b/>
          <w:bCs/>
          <w:color w:val="808080"/>
          <w:sz w:val="20"/>
          <w:szCs w:val="20"/>
        </w:rPr>
        <w:t xml:space="preserve">. </w:t>
      </w:r>
      <w:r>
        <w:rPr>
          <w:rFonts w:hint="eastAsia" w:ascii="Times New Roman" w:hAnsi="Times New Roman" w:cs="Times New Roman"/>
          <w:b/>
          <w:bCs/>
          <w:color w:val="808080"/>
          <w:sz w:val="20"/>
          <w:szCs w:val="20"/>
        </w:rPr>
        <w:t>Prospects of detection of subsolar mass primordial black hole and white dwarf binary mergers</w:t>
      </w:r>
      <w:r>
        <w:rPr>
          <w:rFonts w:ascii="Times New Roman" w:hAnsi="Times New Roman" w:cs="Times New Roman"/>
          <w:b/>
          <w:bCs/>
          <w:color w:val="808080"/>
          <w:sz w:val="20"/>
          <w:szCs w:val="20"/>
        </w:rPr>
        <w:t>. </w:t>
      </w:r>
      <w:r>
        <w:rPr>
          <w:rFonts w:ascii="Times New Roman" w:hAnsi="Times New Roman" w:cs="Times New Roman"/>
          <w:b/>
          <w:bCs/>
          <w:i/>
          <w:iCs/>
          <w:color w:val="808080"/>
          <w:sz w:val="20"/>
          <w:szCs w:val="20"/>
        </w:rPr>
        <w:t>arXiv</w:t>
      </w:r>
      <w:r>
        <w:rPr>
          <w:rFonts w:ascii="Times New Roman" w:hAnsi="Times New Roman" w:cs="Times New Roman"/>
          <w:b/>
          <w:bCs/>
          <w:color w:val="808080"/>
          <w:sz w:val="20"/>
          <w:szCs w:val="20"/>
        </w:rPr>
        <w:t xml:space="preserve"> 2004, arXiv:2401.00044. Available online: https://arxiv.org/abs/2401.00044 (accessed </w:t>
      </w:r>
      <w:r>
        <w:rPr>
          <w:rFonts w:hint="eastAsia" w:ascii="Times New Roman" w:hAnsi="Times New Roman" w:cs="Times New Roman"/>
          <w:b/>
          <w:bCs/>
          <w:color w:val="808080"/>
          <w:sz w:val="20"/>
          <w:szCs w:val="20"/>
        </w:rPr>
        <w:t>29</w:t>
      </w:r>
      <w:r>
        <w:rPr>
          <w:rFonts w:ascii="Times New Roman" w:hAnsi="Times New Roman" w:cs="Times New Roman"/>
          <w:b/>
          <w:bCs/>
          <w:color w:val="808080"/>
          <w:sz w:val="20"/>
          <w:szCs w:val="20"/>
        </w:rPr>
        <w:t xml:space="preserve"> December 20</w:t>
      </w:r>
      <w:r>
        <w:rPr>
          <w:rFonts w:hint="eastAsia" w:ascii="Times New Roman" w:hAnsi="Times New Roman" w:cs="Times New Roman"/>
          <w:b/>
          <w:bCs/>
          <w:color w:val="808080"/>
          <w:sz w:val="20"/>
          <w:szCs w:val="20"/>
        </w:rPr>
        <w:t>23</w:t>
      </w:r>
      <w:r>
        <w:rPr>
          <w:rFonts w:ascii="Times New Roman" w:hAnsi="Times New Roman" w:cs="Times New Roman"/>
          <w:b/>
          <w:bCs/>
          <w:color w:val="808080"/>
          <w:sz w:val="20"/>
          <w:szCs w:val="20"/>
        </w:rPr>
        <w:t>).</w:t>
      </w:r>
      <w:r>
        <w:rPr>
          <w:rFonts w:hint="eastAsia" w:ascii="Times New Roman" w:hAnsi="Times New Roman" w:cs="Times New Roman"/>
          <w:b/>
          <w:bCs/>
          <w:color w:val="808080"/>
          <w:sz w:val="20"/>
          <w:szCs w:val="20"/>
        </w:rPr>
        <w:t xml:space="preserve"> </w:t>
      </w:r>
      <w:bookmarkEnd w:id="23"/>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xml:space="preserve">. </w:t>
    </w:r>
    <w:r>
      <w:rPr>
        <w:rFonts w:ascii="Times New Roman" w:hAnsi="Times New Roman" w:cs="Times New Roman"/>
        <w:b/>
        <w:bCs/>
        <w:snapToGrid w:val="0"/>
        <w:sz w:val="12"/>
        <w:szCs w:val="12"/>
      </w:rPr>
      <w:t>Open Access</w:t>
    </w:r>
    <w:r>
      <w:rPr>
        <w:rFonts w:ascii="Times New Roman" w:hAnsi="Times New Roman" w:cs="Times New Roman"/>
        <w:snapToGrid w:val="0"/>
        <w:sz w:val="12"/>
        <w:szCs w:val="12"/>
      </w:rPr>
      <w:t xml:space="preserve">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E:\IR\Intelligence &amp; Robotics\Intelligence &amp; Robotics\IR网站内容\稿件模板-2022\oaelogo1.pngoa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IR\Intelligence &amp; Robotics\Intelligence &amp; Robotics\IR网站内容\稿件模板-2022\oaelogo1.pngoaelogo1"/>
                  <pic:cNvPicPr>
                    <a:picLocks noChangeAspect="1"/>
                  </pic:cNvPicPr>
                </pic:nvPicPr>
                <pic:blipFill>
                  <a:blip r:embed="rId2"/>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"http://www.intellrobot.com"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intellrobot</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565"/>
        <w:tab w:val="clear" w:pos="4153"/>
        <w:tab w:val="clear" w:pos="8306"/>
      </w:tabs>
    </w:pPr>
    <w:bookmarkStart w:id="24"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3062605</wp:posOffset>
              </wp:positionH>
              <wp:positionV relativeFrom="paragraph">
                <wp:posOffset>5715</wp:posOffset>
              </wp:positionV>
              <wp:extent cx="2426335" cy="3702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370205"/>
                      </a:xfrm>
                      <a:prstGeom prst="rect">
                        <a:avLst/>
                      </a:prstGeom>
                      <a:solidFill>
                        <a:srgbClr val="FFFFFF">
                          <a:alpha val="0"/>
                        </a:srgbClr>
                      </a:solidFill>
                      <a:ln>
                        <a:noFill/>
                      </a:ln>
                    </wps:spPr>
                    <wps:txbx>
                      <w:txbxContent>
                        <w:p>
                          <w:pPr>
                            <w:rPr>
                              <w:color w:val="0047BB"/>
                            </w:rPr>
                          </w:pPr>
                          <w:r>
                            <w:rPr>
                              <w:rFonts w:hint="eastAsia" w:ascii="Arial" w:hAnsi="Arial"/>
                              <w:b/>
                              <w:color w:val="0047BB"/>
                              <w:sz w:val="30"/>
                              <w:szCs w:val="30"/>
                            </w:rPr>
                            <w:t>Intelligence &amp; Robotics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1.15pt;margin-top:0.45pt;height:29.15pt;width:191.05pt;z-index:251662336;mso-width-relative:page;mso-height-relative:page;" fillcolor="#FFFFFF" filled="t" stroked="f" coordsize="21600,21600" o:gfxdata="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sRxNNYAAAAHAQAADwAAAAAAAAABACAAAAAiAAAAZHJzL2Rvd25yZXYu&#10;eG1sUEsBAhQAFAAAAAgAh07iQODrcvc2AgAAWwQAAA4AAAAAAAAAAQAgAAAAJQEAAGRycy9lMm9E&#10;b2MueG1sUEsFBgAAAAAGAAYAWQEAAM0FAAAAAA==&#10;">
              <v:fill on="t" opacity="0f" focussize="0,0"/>
              <v:stroke on="f"/>
              <v:imagedata o:title=""/>
              <o:lock v:ext="edit" aspectratio="f"/>
              <v:textbox>
                <w:txbxContent>
                  <w:p>
                    <w:pPr>
                      <w:rPr>
                        <w:color w:val="0047BB"/>
                      </w:rPr>
                    </w:pPr>
                    <w:r>
                      <w:rPr>
                        <w:rFonts w:hint="eastAsia" w:ascii="Arial" w:hAnsi="Arial"/>
                        <w:b/>
                        <w:color w:val="0047BB"/>
                        <w:sz w:val="30"/>
                        <w:szCs w:val="30"/>
                      </w:rPr>
                      <w:t>Intelligence &amp; Robotics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Intell Robot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24"/>
    <w:r>
      <w:rPr>
        <w:rFonts w:ascii="Times New Roman" w:hAnsi="Times New Roman" w:cs="Times New Roman"/>
        <w:b/>
        <w:bCs/>
        <w:sz w:val="16"/>
        <w:szCs w:val="16"/>
      </w:rPr>
      <w:t>DOI</w:t>
    </w:r>
    <w:r>
      <w:rPr>
        <w:rFonts w:ascii="Times New Roman" w:hAnsi="Times New Roman" w:cs="Times New Roman"/>
        <w:sz w:val="16"/>
        <w:szCs w:val="16"/>
      </w:rPr>
      <w:t>: 10.20517/</w:t>
    </w:r>
    <w:bookmarkStart w:id="25" w:name="OLE_LINK8"/>
    <w:r>
      <w:rPr>
        <w:rFonts w:hint="eastAsia" w:ascii="Times New Roman" w:hAnsi="Times New Roman" w:cs="Times New Roman"/>
        <w:sz w:val="16"/>
        <w:szCs w:val="16"/>
      </w:rPr>
      <w:t>ir</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2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3D80"/>
    <w:rsid w:val="000178BA"/>
    <w:rsid w:val="00030B75"/>
    <w:rsid w:val="0003284A"/>
    <w:rsid w:val="00061947"/>
    <w:rsid w:val="00087FB4"/>
    <w:rsid w:val="000C63DB"/>
    <w:rsid w:val="000C7C3B"/>
    <w:rsid w:val="000D5EBD"/>
    <w:rsid w:val="000F36C0"/>
    <w:rsid w:val="00116FC4"/>
    <w:rsid w:val="001436B8"/>
    <w:rsid w:val="00156834"/>
    <w:rsid w:val="00172A27"/>
    <w:rsid w:val="0019510B"/>
    <w:rsid w:val="00223A1A"/>
    <w:rsid w:val="002658C2"/>
    <w:rsid w:val="0027022E"/>
    <w:rsid w:val="00273491"/>
    <w:rsid w:val="002C6B96"/>
    <w:rsid w:val="00313ED7"/>
    <w:rsid w:val="00331E76"/>
    <w:rsid w:val="00354800"/>
    <w:rsid w:val="003608FF"/>
    <w:rsid w:val="003613A5"/>
    <w:rsid w:val="00363AF1"/>
    <w:rsid w:val="003736D8"/>
    <w:rsid w:val="003B127A"/>
    <w:rsid w:val="003B3DF8"/>
    <w:rsid w:val="003B627D"/>
    <w:rsid w:val="003C11CD"/>
    <w:rsid w:val="00423880"/>
    <w:rsid w:val="00436667"/>
    <w:rsid w:val="0046509E"/>
    <w:rsid w:val="004755F0"/>
    <w:rsid w:val="00480C95"/>
    <w:rsid w:val="00497675"/>
    <w:rsid w:val="004A5211"/>
    <w:rsid w:val="004D5EC7"/>
    <w:rsid w:val="004E44CD"/>
    <w:rsid w:val="004F52CE"/>
    <w:rsid w:val="004F657A"/>
    <w:rsid w:val="00513608"/>
    <w:rsid w:val="005159FA"/>
    <w:rsid w:val="00525A1D"/>
    <w:rsid w:val="0054411A"/>
    <w:rsid w:val="005570D9"/>
    <w:rsid w:val="00571B61"/>
    <w:rsid w:val="00580484"/>
    <w:rsid w:val="005B7E71"/>
    <w:rsid w:val="005C5E38"/>
    <w:rsid w:val="005C6B82"/>
    <w:rsid w:val="005C6D73"/>
    <w:rsid w:val="005E6834"/>
    <w:rsid w:val="00637595"/>
    <w:rsid w:val="00664187"/>
    <w:rsid w:val="00675243"/>
    <w:rsid w:val="00681458"/>
    <w:rsid w:val="006A1EEB"/>
    <w:rsid w:val="006B18C9"/>
    <w:rsid w:val="007028B7"/>
    <w:rsid w:val="0070775D"/>
    <w:rsid w:val="00740C41"/>
    <w:rsid w:val="00755C03"/>
    <w:rsid w:val="007A7A1F"/>
    <w:rsid w:val="007C517C"/>
    <w:rsid w:val="007D1FD5"/>
    <w:rsid w:val="008075EB"/>
    <w:rsid w:val="00815F95"/>
    <w:rsid w:val="00842C21"/>
    <w:rsid w:val="00875A34"/>
    <w:rsid w:val="00885095"/>
    <w:rsid w:val="008A3DC7"/>
    <w:rsid w:val="008A495C"/>
    <w:rsid w:val="008E10AC"/>
    <w:rsid w:val="0091636A"/>
    <w:rsid w:val="009201A7"/>
    <w:rsid w:val="00921419"/>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109EF"/>
    <w:rsid w:val="00C46581"/>
    <w:rsid w:val="00C5076C"/>
    <w:rsid w:val="00C6156C"/>
    <w:rsid w:val="00C6365E"/>
    <w:rsid w:val="00C83656"/>
    <w:rsid w:val="00C90E08"/>
    <w:rsid w:val="00CA2500"/>
    <w:rsid w:val="00CA5EA3"/>
    <w:rsid w:val="00D16246"/>
    <w:rsid w:val="00D30F13"/>
    <w:rsid w:val="00D6721F"/>
    <w:rsid w:val="00D76347"/>
    <w:rsid w:val="00DB50C2"/>
    <w:rsid w:val="00DC2E13"/>
    <w:rsid w:val="00DF5C43"/>
    <w:rsid w:val="00E0421A"/>
    <w:rsid w:val="00E31605"/>
    <w:rsid w:val="00E6173E"/>
    <w:rsid w:val="00EA21CF"/>
    <w:rsid w:val="00EE548B"/>
    <w:rsid w:val="00F176EF"/>
    <w:rsid w:val="00F37CB8"/>
    <w:rsid w:val="00F42642"/>
    <w:rsid w:val="00F67227"/>
    <w:rsid w:val="00F916B5"/>
    <w:rsid w:val="00F95777"/>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C60EC4"/>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49F3"/>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E770D"/>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4317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E625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03F6"/>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D3A1A"/>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86F70"/>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A122A3"/>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DA6B5A"/>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2C9E"/>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CFF2854"/>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32960"/>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0FB6"/>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3C022C"/>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8C3408"/>
    <w:rsid w:val="41AB0C98"/>
    <w:rsid w:val="41AE166B"/>
    <w:rsid w:val="41AF12A9"/>
    <w:rsid w:val="41B31AC1"/>
    <w:rsid w:val="41B62949"/>
    <w:rsid w:val="41B70C4C"/>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27E42"/>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40214"/>
    <w:rsid w:val="44385DD2"/>
    <w:rsid w:val="443B5485"/>
    <w:rsid w:val="44433EEB"/>
    <w:rsid w:val="445658A4"/>
    <w:rsid w:val="445752F2"/>
    <w:rsid w:val="445D7902"/>
    <w:rsid w:val="446232B5"/>
    <w:rsid w:val="44682ED1"/>
    <w:rsid w:val="44721841"/>
    <w:rsid w:val="448333A9"/>
    <w:rsid w:val="448B4F45"/>
    <w:rsid w:val="448F0A23"/>
    <w:rsid w:val="448F414F"/>
    <w:rsid w:val="448F5B9B"/>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36F41"/>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F453D"/>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AE68FE"/>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12D78"/>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7E041C"/>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3E036D"/>
    <w:rsid w:val="624163E3"/>
    <w:rsid w:val="62472525"/>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277C8"/>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A81038"/>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45E6D"/>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A00B0"/>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A643F"/>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23C95"/>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autoRedefine/>
    <w:semiHidden/>
    <w:unhideWhenUsed/>
    <w:uiPriority w:val="1"/>
  </w:style>
  <w:style w:type="table" w:default="1" w:styleId="10">
    <w:name w:val="Normal Table"/>
    <w:autoRedefin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table" w:customStyle="1" w:styleId="17">
    <w:name w:val="M_deck_5_table_body_three_lines"/>
    <w:basedOn w:val="10"/>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Balloon Text Char"/>
    <w:basedOn w:val="12"/>
    <w:link w:val="5"/>
    <w:autoRedefine/>
    <w:qFormat/>
    <w:uiPriority w:val="0"/>
    <w:rPr>
      <w:rFonts w:asciiTheme="minorHAnsi" w:hAnsiTheme="minorHAnsi" w:eastAsiaTheme="minorEastAsia" w:cstheme="minorBidi"/>
      <w:kern w:val="2"/>
      <w:sz w:val="18"/>
      <w:szCs w:val="18"/>
    </w:rPr>
  </w:style>
  <w:style w:type="character" w:customStyle="1" w:styleId="19">
    <w:name w:val="Comment Text Char"/>
    <w:basedOn w:val="12"/>
    <w:link w:val="4"/>
    <w:autoRedefine/>
    <w:qFormat/>
    <w:uiPriority w:val="0"/>
    <w:rPr>
      <w:rFonts w:asciiTheme="minorHAnsi" w:hAnsiTheme="minorHAnsi" w:eastAsiaTheme="minorEastAsia" w:cstheme="minorBidi"/>
      <w:kern w:val="2"/>
      <w:sz w:val="21"/>
      <w:szCs w:val="24"/>
    </w:rPr>
  </w:style>
  <w:style w:type="character" w:customStyle="1" w:styleId="20">
    <w:name w:val="Comment Subject Char"/>
    <w:basedOn w:val="19"/>
    <w:link w:val="9"/>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2391</Words>
  <Characters>13918</Characters>
  <Lines>347</Lines>
  <Paragraphs>191</Paragraphs>
  <TotalTime>0</TotalTime>
  <ScaleCrop>false</ScaleCrop>
  <LinksUpToDate>false</LinksUpToDate>
  <CharactersWithSpaces>16118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Irene</cp:lastModifiedBy>
  <dcterms:modified xsi:type="dcterms:W3CDTF">2026-02-05T08:43:42Z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0C4C68C3723647A4AE85F4284B7B461B_13</vt:lpwstr>
  </property>
  <property fmtid="{D5CDD505-2E9C-101B-9397-08002B2CF9AE}" pid="4" name="GrammarlyDocumentId">
    <vt:lpwstr>8cc4e805c0643551131cb1b12042d04ce6f4c9512f76a04ae176d0ad9306deb2</vt:lpwstr>
  </property>
</Properties>
</file>