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"mailto:editorialoffice@inectjournal.com"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"https://oaepublish.com/files/tpl/inect/Template_for_Supplementary_Material_/inect.docx"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0"/>
      <w:bookmarkStart w:id="10" w:name="OLE_LINK11"/>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2"/>
      <w:bookmarkStart w:id="12" w:name="OLE_LINK13"/>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Intelligent Networking and Computing</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bookmarkStart w:id="16" w:name="_GoBack"/>
      <w:bookmarkEnd w:id="16"/>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6"/>
      <w:bookmarkStart w:id="14" w:name="OLE_LINK17"/>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3061B58A">
    <w:pPr>
      <w:pStyle w:val="6"/>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"https://www.oaepublish.com/inect" </w:instrText>
    </w:r>
    <w:r>
      <w:rPr>
        <w:rFonts w:hint="eastAsia"/>
        <w:b/>
        <w:bCs/>
        <w:sz w:val="16"/>
        <w:szCs w:val="16"/>
      </w:rPr>
      <w:fldChar w:fldCharType="separate"/>
    </w:r>
    <w:r>
      <w:rPr>
        <w:rStyle w:val="15"/>
        <w:rFonts w:hint="eastAsia"/>
        <w:b/>
        <w:bCs/>
        <w:sz w:val="16"/>
        <w:szCs w:val="16"/>
      </w:rPr>
      <w:t>https://www.oaepublish.com/inect</w:t>
    </w:r>
    <w:r>
      <w:rPr>
        <w:rFonts w:hint="eastAsia"/>
        <w:b/>
        <w:bCs/>
        <w:sz w:val="16"/>
        <w:szCs w:val="16"/>
      </w:rPr>
      <w:fldChar w:fldCharType="end"/>
    </w:r>
    <w:r>
      <w:rPr>
        <w:rFonts w:hint="eastAsia"/>
        <w:b/>
        <w:bCs/>
        <w:sz w:val="16"/>
        <w:szCs w:val="16"/>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2432050</wp:posOffset>
              </wp:positionH>
              <wp:positionV relativeFrom="paragraph">
                <wp:posOffset>-34925</wp:posOffset>
              </wp:positionV>
              <wp:extent cx="29286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8620" cy="481965"/>
                      </a:xfrm>
                      <a:prstGeom prst="rect">
                        <a:avLst/>
                      </a:prstGeom>
                      <a:solidFill>
                        <a:srgbClr val="FFFFFF">
                          <a:alpha val="0"/>
                        </a:srgbClr>
                      </a:solidFill>
                      <a:ln>
                        <a:noFill/>
                      </a:ln>
                      <a:effectLst/>
                    </wps:spPr>
                    <wps:txb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2.75pt;height:37.95pt;width:230.6pt;z-index:251660288;mso-width-relative:page;mso-height-relative:page;" fillcolor="#FFFFFF" filled="t" stroked="f" coordsize="21600,21600" o:gfxdata="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tpe/2QAAAAkBAAAPAAAAAAAAAAEAIAAAACIAAABk&#10;cnMvZG93bnJldi54bWxQSwECFAAUAAAACACHTuJAxDUBEz4CAABrBAAADgAAAAAAAAABACAAAAAo&#10;AQAAZHJzL2Uyb0RvYy54bWxQSwUGAAAAAAYABgBZAQAA2AUAAAAA&#10;">
              <v:fill on="t" opacity="0f" focussize="0,0"/>
              <v:stroke on="f"/>
              <v:imagedata o:title=""/>
              <o:lock v:ext="edit" aspectratio="f"/>
              <v:textbo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inect</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397AF3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3F78CA"/>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242C"/>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6FA232E"/>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C36D3"/>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9E409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29"/>
    <w:rsid w:val="47E26390"/>
    <w:rsid w:val="47ED1C45"/>
    <w:rsid w:val="47F10F7C"/>
    <w:rsid w:val="47FB7F79"/>
    <w:rsid w:val="47FF42AC"/>
    <w:rsid w:val="48027844"/>
    <w:rsid w:val="480810F8"/>
    <w:rsid w:val="4808584E"/>
    <w:rsid w:val="481065AE"/>
    <w:rsid w:val="481768E4"/>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168DE"/>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47071"/>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A25C9"/>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905F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2432</Words>
  <Characters>14384</Characters>
  <Lines>125</Lines>
  <Paragraphs>35</Paragraphs>
  <TotalTime>0</TotalTime>
  <ScaleCrop>false</ScaleCrop>
  <LinksUpToDate>false</LinksUpToDate>
  <CharactersWithSpaces>16649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Editor</cp:lastModifiedBy>
  <dcterms:modified xsi:type="dcterms:W3CDTF">2026-02-13T07:56:14Z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9F11E5AA924547A582D9F2C14380E577_13</vt:lpwstr>
  </property>
  <property fmtid="{D5CDD505-2E9C-101B-9397-08002B2CF9AE}" pid="4" name="KSOTemplateDocerSaveRecord">
    <vt:lpwstr>eyJoZGlkIjoiMzE3ODU4M2FjODMwOTAyNWIxMDVhYzJmNWViNWM1ZjQiLCJ1c2VySWQiOiIyNTE4MzU1MTkifQ==</vt:lpwstr>
  </property>
</Properties>
</file>