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21032">
      <w:pPr>
        <w:adjustRightInd w:val="0"/>
        <w:snapToGrid w:val="0"/>
        <w:spacing w:before="312" w:beforeLines="100"/>
        <w:rPr>
          <w:rFonts w:ascii="Times New Roman" w:hAnsi="Times New Roman" w:cs="Times New Roman"/>
        </w:rPr>
      </w:pPr>
      <w:r>
        <w:rPr>
          <w:rFonts w:ascii="Times New Roman" w:hAnsi="Times New Roman" w:cs="Times New Roman"/>
          <w:b/>
          <w:bCs/>
        </w:rPr>
        <w:t>Perspective</w:t>
      </w:r>
    </w:p>
    <w:p w14:paraId="503228AD">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02A81DD7">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w:t>
      </w:r>
      <w:bookmarkStart w:id="1" w:name="OLE_LINK4"/>
      <w:r>
        <w:rPr>
          <w:rFonts w:hint="eastAsia" w:ascii="Times New Roman" w:hAnsi="Times New Roman" w:cs="Times New Roman"/>
          <w:b/>
          <w:bCs/>
          <w:i/>
          <w:iCs/>
          <w:color w:val="808080" w:themeColor="background1" w:themeShade="80"/>
          <w:sz w:val="18"/>
          <w:szCs w:val="18"/>
        </w:rPr>
        <w:t>except for standardized ones</w:t>
      </w:r>
      <w:bookmarkEnd w:id="1"/>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7BD8807F">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0AA8E143">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53100887">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4A91770C">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E557E8C">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BB5DA35">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42A3A4C2">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2018</w:t>
      </w:r>
      <w:r>
        <w:rPr>
          <w:rFonts w:hint="eastAsia" w:ascii="Times New Roman" w:hAnsi="Times New Roman" w:eastAsia="宋体" w:cs="Times New Roman"/>
          <w:color w:val="808080" w:themeColor="background1" w:themeShade="80"/>
          <w:kern w:val="0"/>
          <w:sz w:val="18"/>
          <w:szCs w:val="18"/>
        </w:rPr>
        <w:t>]</w:t>
      </w:r>
    </w:p>
    <w:p w14:paraId="61DC0FEA">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E3EEE23">
      <w:pPr>
        <w:pStyle w:val="26"/>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hint="eastAsia" w:ascii="Times New Roman" w:hAnsi="Times New Roman"/>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hint="eastAsia" w:ascii="Times New Roman" w:hAnsi="Times New Roman"/>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"mailto:editorialoffice@hrjournal.net" </w:instrText>
      </w:r>
      <w:r>
        <w:fldChar w:fldCharType="separate"/>
      </w:r>
      <w:r>
        <w:rPr>
          <w:rStyle w:val="15"/>
          <w:rFonts w:ascii="Times New Roman" w:hAnsi="Times New Roman"/>
          <w:b/>
          <w:bCs/>
          <w:i/>
          <w:color w:val="808080" w:themeColor="background1" w:themeShade="80"/>
          <w:sz w:val="18"/>
          <w:szCs w:val="18"/>
        </w:rPr>
        <w:t>editorial office</w:t>
      </w:r>
      <w:r>
        <w:rPr>
          <w:rStyle w:val="15"/>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314AB7AE">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4C002E84">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15</w:t>
      </w:r>
      <w:r>
        <w:rPr>
          <w:rFonts w:ascii="Times New Roman" w:hAnsi="Times New Roman" w:cs="Times New Roman"/>
          <w:b/>
          <w:bCs/>
          <w:i/>
          <w:iCs/>
          <w:color w:val="808080" w:themeColor="background1" w:themeShade="80"/>
          <w:sz w:val="18"/>
          <w:szCs w:val="18"/>
        </w:rPr>
        <w:t>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6375C951">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260CF627">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084545E2">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48D1B00C">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09CE17F4">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75B17F6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2A86BEE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092D5099">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32962776">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51521D04">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r>
        <w:rPr>
          <w:rFonts w:ascii="Times New Roman" w:hAnsi="Times New Roman" w:cs="Times New Roman"/>
          <w:color w:val="808080" w:themeColor="background1" w:themeShade="80"/>
          <w:sz w:val="18"/>
          <w:szCs w:val="18"/>
        </w:rPr>
        <w:t xml:space="preserve"> </w:t>
      </w:r>
    </w:p>
    <w:p w14:paraId="744EFA68">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ED9E37F">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5A3BD23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"http://www.oaepublish.com/files/tpl/hr/Template_for_Supplementary_Material_hr.docx" </w:instrText>
      </w:r>
      <w:r>
        <w:fldChar w:fldCharType="separate"/>
      </w:r>
      <w:r>
        <w:rPr>
          <w:rStyle w:val="15"/>
          <w:rFonts w:hint="eastAsia" w:ascii="Times New Roman" w:hAnsi="Times New Roman" w:cs="Times New Roman"/>
          <w:b/>
          <w:bCs/>
          <w:sz w:val="20"/>
          <w:szCs w:val="20"/>
        </w:rPr>
        <w:t>Supplementary Material Template</w:t>
      </w:r>
      <w:r>
        <w:rPr>
          <w:rStyle w:val="15"/>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3807994B">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A3DCB9">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309AC130">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78CBA420">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2F67B9A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B6AA8DA">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523F27F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0C52BCF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099C5D6">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17F98601">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A90EBFE">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906D0F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19CEC91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A959ED2">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168BEDE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5C29109A">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44C3AEF4">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1083BEB7">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7F319D73">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2AC36905">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77C9AB5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3BD1D410">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62112D76">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33BDD2C3">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6B664CD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24C87C6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03A9A4C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3EFC1E2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228CC7F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0C3C8B00">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12990BBE">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2684A030">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4FB5A59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5B69233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314E26D5">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7A4AED7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6512CE7B">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13BF3F03">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59347250">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7551E77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7C7E38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4FADDDC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8B11E9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5A3D08A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7DD2D2AC">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CCF0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30BEE81">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2730B44F">
            <w:pPr>
              <w:pStyle w:val="27"/>
              <w:spacing w:line="260" w:lineRule="atLeast"/>
              <w:jc w:val="center"/>
              <w:rPr>
                <w:rFonts w:ascii="Times New Roman" w:hAnsi="Times New Roman"/>
              </w:rPr>
            </w:pPr>
            <w:r>
              <w:rPr>
                <w:rFonts w:ascii="Times New Roman" w:hAnsi="Times New Roman"/>
              </w:rPr>
              <w:t>(1)</w:t>
            </w:r>
          </w:p>
        </w:tc>
      </w:tr>
    </w:tbl>
    <w:p w14:paraId="68B9FD3B">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1E954BB8">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6C2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2543551">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527ED490">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04C204AA">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4" cstate="print"/>
                          <a:stretch>
                            <a:fillRect/>
                          </a:stretch>
                        </pic:blipFill>
                        <pic:spPr>
                          <a:xfrm>
                            <a:off x="0" y="0"/>
                            <a:ext cx="2548890" cy="1443355"/>
                          </a:xfrm>
                          <a:prstGeom prst="rect">
                            <a:avLst/>
                          </a:prstGeom>
                        </pic:spPr>
                      </pic:pic>
                    </a:graphicData>
                  </a:graphic>
                </wp:inline>
              </w:drawing>
            </w:r>
          </w:p>
          <w:p w14:paraId="65C1C728">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0419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3BC2676">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1E8CE5A">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087E6E0E">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6E61EBA5">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33E6396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4479210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229078D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267A911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0523339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6056064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7DB6325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5C0DD08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399B8AB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r>
        <w:rPr>
          <w:rFonts w:hint="eastAsia" w:ascii="Times New Roman" w:hAnsi="Times New Roman" w:cs="Times New Roman"/>
          <w:b/>
          <w:bCs/>
          <w:i/>
          <w:iCs/>
          <w:color w:val="808080" w:themeColor="background1" w:themeShade="80"/>
          <w:sz w:val="18"/>
          <w:szCs w:val="18"/>
        </w:rPr>
        <w:t>.</w:t>
      </w:r>
    </w:p>
    <w:p w14:paraId="5DE2857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3370EA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2" w:name="OLE_LINK3"/>
      <w:bookmarkStart w:id="3" w:name="OLE_LINK1"/>
      <w:r>
        <w:rPr>
          <w:rFonts w:ascii="Times New Roman" w:hAnsi="Times New Roman" w:eastAsia="宋体" w:cs="Times New Roman"/>
          <w:b/>
          <w:bCs/>
          <w:iCs/>
          <w:color w:val="000000"/>
          <w:kern w:val="0"/>
          <w:sz w:val="22"/>
          <w:szCs w:val="22"/>
        </w:rPr>
        <w:t>Acknowledgments</w:t>
      </w:r>
    </w:p>
    <w:p w14:paraId="1803C13B">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F8BF04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99529D2">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129A5DD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3C0F1EA3">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3C0029E4">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21552000">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1866CFDF">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18F6C09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1BE1BB03">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013EE3A">
      <w:pPr>
        <w:widowControl/>
        <w:adjustRightInd w:val="0"/>
        <w:snapToGrid w:val="0"/>
        <w:spacing w:before="156" w:beforeLines="50" w:line="260" w:lineRule="atLeast"/>
        <w:rPr>
          <w:rFonts w:hint="default" w:ascii="Times New Roman" w:hAnsi="Times New Roman" w:eastAsia="宋体" w:cs="Times New Roman"/>
          <w:b/>
          <w:bCs/>
          <w:iCs/>
          <w:color w:val="000000"/>
          <w:kern w:val="0"/>
          <w:sz w:val="20"/>
          <w:szCs w:val="20"/>
        </w:rPr>
      </w:pPr>
      <w:r>
        <w:rPr>
          <w:rFonts w:hint="default" w:ascii="Times New Roman" w:hAnsi="Times New Roman" w:eastAsia="宋体" w:cs="Times New Roman"/>
          <w:b/>
          <w:bCs/>
          <w:iCs/>
          <w:color w:val="000000"/>
          <w:kern w:val="0"/>
          <w:sz w:val="20"/>
          <w:szCs w:val="20"/>
        </w:rPr>
        <w:t>AI and AI-assisted tools Statement</w:t>
      </w:r>
    </w:p>
    <w:p w14:paraId="77A723E6">
      <w:pPr>
        <w:widowControl/>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0D41C59D">
      <w:pPr>
        <w:widowControl/>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hint="default" w:ascii="Times New Roman" w:hAnsi="Times New Roman" w:cs="Times New Roman"/>
          <w:sz w:val="20"/>
          <w:szCs w:val="20"/>
        </w:rPr>
        <w:t>” in this section.</w:t>
      </w:r>
    </w:p>
    <w:p w14:paraId="487B97D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9" w:name="_GoBack"/>
      <w:bookmarkEnd w:id="9"/>
      <w:r>
        <w:rPr>
          <w:rFonts w:ascii="Times New Roman" w:hAnsi="Times New Roman" w:eastAsia="宋体" w:cs="Times New Roman"/>
          <w:b/>
          <w:bCs/>
          <w:iCs/>
          <w:color w:val="000000"/>
          <w:kern w:val="0"/>
          <w:sz w:val="22"/>
          <w:szCs w:val="22"/>
        </w:rPr>
        <w:t>Financial support and sponsorship</w:t>
      </w:r>
    </w:p>
    <w:p w14:paraId="4AED406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5E70FF18">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65FC65DB">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47B5023F">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0D0A2825">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0534DEF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22AEC58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507D44F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012CAD8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2"/>
      <w:bookmarkStart w:id="7" w:name="OLE_LINK13"/>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447F41C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3DDFAA5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119D71C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62EB191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E90022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4A0C992D">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2018.</w:t>
      </w:r>
    </w:p>
    <w:p w14:paraId="7868A8E8">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commentRangeStart w:id="0"/>
      <w:r>
        <w:rPr>
          <w:rFonts w:ascii="Times New Roman" w:hAnsi="Times New Roman" w:eastAsia="Times New Roman" w:cs="Times New Roman"/>
          <w:b/>
          <w:bCs/>
          <w:iCs/>
          <w:color w:val="190F13"/>
          <w:sz w:val="24"/>
        </w:rPr>
        <w:t>REFERENCES</w:t>
      </w:r>
      <w:commentRangeEnd w:id="0"/>
      <w:r>
        <w:commentReference w:id="0"/>
      </w:r>
    </w:p>
    <w:p w14:paraId="0B07DE4E">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bookmarkEnd w:id="2"/>
    <w:bookmarkEnd w:id="3"/>
    <w:p w14:paraId="5E48863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35D0B3F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3686E37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256F689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themeColor="background1" w:themeShade="80"/>
          <w:sz w:val="18"/>
          <w:szCs w:val="18"/>
        </w:rPr>
        <w:t>http://www2.bg.am.poznan.pl/czasopisma/medicus.php?lang=eng</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11AC0474">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796638C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Journal articles by individual authors</w:t>
      </w:r>
    </w:p>
    <w:p w14:paraId="7722FDE8">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Weaver DL, Ashikaga T, Krag DN, et al. Effect of occult metastases on survival in node-negative breast cancer. N Engl J Med. 2011;364:412-21. [PMID: 21247310 DOI: 10.1056/NEJMoa1008108]</w:t>
      </w:r>
    </w:p>
    <w:p w14:paraId="739BB7E8">
      <w:pPr>
        <w:widowControl/>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Organization as author</w:t>
      </w:r>
    </w:p>
    <w:p w14:paraId="60574425">
      <w:pPr>
        <w:widowControl/>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 [PMID: 12411462]</w:t>
      </w:r>
    </w:p>
    <w:p w14:paraId="75B91BBC">
      <w:pPr>
        <w:widowControl/>
        <w:spacing w:line="260" w:lineRule="atLeast"/>
        <w:rPr>
          <w:rFonts w:hint="default" w:ascii="Times New Roman" w:hAnsi="Times New Roman" w:eastAsia="宋体" w:cs="Times New Roman"/>
          <w:b/>
          <w:bCs/>
          <w:i/>
          <w:iCs/>
          <w:color w:val="000000"/>
          <w:kern w:val="0"/>
          <w:sz w:val="20"/>
          <w:szCs w:val="20"/>
        </w:rPr>
      </w:pPr>
    </w:p>
    <w:p w14:paraId="7D4DA24A">
      <w:pPr>
        <w:widowControl/>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Both personal authors and organization as author</w:t>
      </w:r>
    </w:p>
    <w:p w14:paraId="7D06C694">
      <w:pPr>
        <w:widowControl/>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Vallancien G, Emberton M, Harving N, van Moorselaar RJ; Alf-One Study Group. Sexual dysfunction in 1,274 European men suffering from lower urinary tract symptoms. J Urol. 2003;169:2257-61. [PMID: 12771764 DOI: 10.1097/01.ju.0000067940.76090.73]</w:t>
      </w:r>
    </w:p>
    <w:p w14:paraId="7036FC92">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p>
    <w:p w14:paraId="5278D68D">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Journal articles not in English</w:t>
      </w:r>
    </w:p>
    <w:p w14:paraId="5D33C527">
      <w:pPr>
        <w:widowControl/>
        <w:spacing w:line="260" w:lineRule="atLeas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Zhang X, Xiong H, Ji TY, Zhang YH, Wang Y. Case report of anti-N-methyl-D-aspartate receptor encephalitis in child. J Appl Clin Pediatr. 2012;27:1903-7. (in Chinese)</w:t>
      </w:r>
    </w:p>
    <w:p w14:paraId="1D16D4C8">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p>
    <w:p w14:paraId="7068DB65">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Journal articles ahead of print</w:t>
      </w:r>
    </w:p>
    <w:p w14:paraId="06EA1835">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val="0"/>
          <w:bCs w:val="0"/>
          <w:i w:val="0"/>
          <w:iCs w:val="0"/>
          <w:color w:val="000000"/>
          <w:kern w:val="0"/>
          <w:sz w:val="20"/>
          <w:szCs w:val="20"/>
        </w:rPr>
        <w:t>Odibo AO. Falling stillbirth and neonatal mortality rates in twin gestation: not a reason for complacency. BJOG. 2018; Epub ahead of print [PMID: 30461178 DOI: 10.1111/1471-0528.15541]</w:t>
      </w:r>
    </w:p>
    <w:p w14:paraId="1E44091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Books</w:t>
      </w:r>
    </w:p>
    <w:p w14:paraId="6C3D456A">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Sherlock S, Dooley J. Diseases of the liver and billiary system. 9th ed. Oxford: Blackwell Sci Pub; 1993. pp. 258-96.</w:t>
      </w:r>
    </w:p>
    <w:p w14:paraId="71916527">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Book chapters</w:t>
      </w:r>
    </w:p>
    <w:p w14:paraId="473FA303">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pp. 93-113.</w:t>
      </w:r>
    </w:p>
    <w:p w14:paraId="6866D643">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Online resource</w:t>
      </w:r>
    </w:p>
    <w:p w14:paraId="2E850C95">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val="en-US" w:eastAsia="zh-CN" w:bidi="ar"/>
        </w:rPr>
        <w:t>FDA News Release. FDA approval brings first gene therapy to the United States. Available from:</w:t>
      </w: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color w:val="4475E1"/>
          <w:kern w:val="0"/>
          <w:sz w:val="20"/>
          <w:szCs w:val="20"/>
          <w:u w:val="none"/>
          <w:lang w:val="en-US" w:eastAsia="zh-CN" w:bidi="ar"/>
        </w:rPr>
        <w:fldChar w:fldCharType="begin"/>
      </w:r>
      <w:r>
        <w:rPr>
          <w:rFonts w:hint="default" w:ascii="Times New Roman" w:hAnsi="Times New Roman" w:eastAsia="宋体" w:cs="Times New Roman"/>
          <w:color w:val="4475E1"/>
          <w:kern w:val="0"/>
          <w:sz w:val="20"/>
          <w:szCs w:val="20"/>
          <w:u w:val="none"/>
          <w:lang w:val="en-US" w:eastAsia="zh-CN" w:bidi="ar"/>
        </w:rPr>
        <w:instrText xml:space="preserve"> HYPERLINK "https://www.fda.gov/news-events/press-announcements/fda-approval-brings-first-gene-therapy-united-states" </w:instrText>
      </w:r>
      <w:r>
        <w:rPr>
          <w:rFonts w:hint="default" w:ascii="Times New Roman" w:hAnsi="Times New Roman" w:eastAsia="宋体" w:cs="Times New Roman"/>
          <w:color w:val="4475E1"/>
          <w:kern w:val="0"/>
          <w:sz w:val="20"/>
          <w:szCs w:val="20"/>
          <w:u w:val="none"/>
          <w:lang w:val="en-US" w:eastAsia="zh-CN" w:bidi="ar"/>
        </w:rPr>
        <w:fldChar w:fldCharType="separate"/>
      </w:r>
      <w:r>
        <w:rPr>
          <w:rStyle w:val="15"/>
          <w:rFonts w:hint="default" w:ascii="Times New Roman" w:hAnsi="Times New Roman" w:eastAsia="宋体" w:cs="Times New Roman"/>
          <w:color w:val="4475E1"/>
          <w:sz w:val="20"/>
          <w:szCs w:val="20"/>
          <w:u w:val="none"/>
        </w:rPr>
        <w:t>https://www.fda.gov/NewsEvents/Newsroom/PressAnnouncements/ucm574058.htm</w:t>
      </w:r>
      <w:r>
        <w:rPr>
          <w:rFonts w:hint="default" w:ascii="Times New Roman" w:hAnsi="Times New Roman" w:eastAsia="宋体" w:cs="Times New Roman"/>
          <w:color w:val="4475E1"/>
          <w:kern w:val="0"/>
          <w:sz w:val="20"/>
          <w:szCs w:val="20"/>
          <w:u w:val="none"/>
          <w:lang w:val="en-US" w:eastAsia="zh-CN" w:bidi="ar"/>
        </w:rPr>
        <w:fldChar w:fldCharType="end"/>
      </w:r>
      <w:r>
        <w:rPr>
          <w:rFonts w:hint="default" w:ascii="Times New Roman" w:hAnsi="Times New Roman" w:eastAsia="宋体" w:cs="Times New Roman"/>
          <w:kern w:val="0"/>
          <w:sz w:val="20"/>
          <w:szCs w:val="20"/>
          <w:lang w:val="en-US" w:eastAsia="zh-CN" w:bidi="ar"/>
        </w:rPr>
        <w:t>.</w:t>
      </w: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kern w:val="0"/>
          <w:sz w:val="20"/>
          <w:szCs w:val="20"/>
          <w:lang w:val="en-US" w:eastAsia="zh-CN" w:bidi="ar"/>
        </w:rPr>
        <w:t>[Last accessed on 30 Oct 2017]</w:t>
      </w:r>
    </w:p>
    <w:p w14:paraId="78DBA5ED">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Conference proceedings</w:t>
      </w:r>
    </w:p>
    <w:p w14:paraId="0D5BAA0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Harnden P, Joffe JK, Jones WG, Editors. Germ cell tumours V. Proceedings of the 5th Germ Cell Tumour Conference; 2001 Sep 13-15; Leeds, UK. New York: Springer; 2002.</w:t>
      </w:r>
    </w:p>
    <w:p w14:paraId="600C73C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Conference paper</w:t>
      </w:r>
    </w:p>
    <w:p w14:paraId="1D6C757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pp. 182-91.</w:t>
      </w:r>
    </w:p>
    <w:p w14:paraId="0756D85D">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Unpublished material</w:t>
      </w:r>
    </w:p>
    <w:p w14:paraId="752D1787">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Tian D, Araki H, Stahl E, Bergelson J, Kreitman M. Signature of balancing selection in Arabidopsis. Proc Natl Acad Sci U S A. Forthcoming 2002.</w:t>
      </w:r>
    </w:p>
    <w:p w14:paraId="79236F27">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w:t>
      </w:r>
    </w:p>
    <w:p w14:paraId="6F208D6A">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Cable ML. Life in extreme environments: lanthanide-based detection of bacterial spores and other sensor design pursuits. Ph.D. Dissertation, California Institute of Technology, Pasadena, CA, 2010. Available from https://resolver.caltech.edu/CaltechTHESIS:05102010-145436548 [accessed 29 December 2023].</w:t>
      </w:r>
    </w:p>
    <w:p w14:paraId="2D66C52D">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 in print</w:t>
      </w:r>
    </w:p>
    <w:p w14:paraId="27C5B578">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Enander RT. Lead particulate and methylene chloride risks in automotive refinishing. Ph.D. Thesis, Tufts University, Medford, MA, 2001.</w:t>
      </w:r>
    </w:p>
    <w:p w14:paraId="4162E3FA">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Website</w:t>
      </w:r>
    </w:p>
    <w:p w14:paraId="76FCD7A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World Health Organization Home Page. Available from https://www.who.int/ [accessed 29 December 2023].</w:t>
      </w:r>
    </w:p>
    <w:p w14:paraId="640FB203">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Newspaper</w:t>
      </w:r>
    </w:p>
    <w:p w14:paraId="500E5F99">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Beauge J. School district sued over burns girl suffered during chemistry class demonstration. PennLive (Harrisburg, PA), November 17, 2018, updated November 17, 2018. Available from https://www.pennlive.com/news/2018/11/school_district_sued_over_burn.html [accessed 29 December 2023].</w:t>
      </w:r>
    </w:p>
    <w:p w14:paraId="608BDFD7">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Database</w:t>
      </w:r>
    </w:p>
    <w:p w14:paraId="0A62EBDD">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SpectraBase. Bio-Rad Laboratories. Available from https://spectrabase.com/ [accessed 29 December 2023].</w:t>
      </w:r>
    </w:p>
    <w:p w14:paraId="611BC058">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Patent</w:t>
      </w:r>
    </w:p>
    <w:p w14:paraId="5AA344C9">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val="0"/>
          <w:bCs w:val="0"/>
          <w:i w:val="0"/>
          <w:iCs w:val="0"/>
          <w:color w:val="000000"/>
          <w:kern w:val="0"/>
          <w:sz w:val="20"/>
          <w:szCs w:val="20"/>
        </w:rPr>
        <w:t>Stern MK, Cheng BKM. Process for preparing N-(p-nitroaryl)amides via reaction of nitrobenzene with nitriles. US 5380946, 1995.</w:t>
      </w:r>
    </w:p>
    <w:p w14:paraId="6963784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Preprint</w:t>
      </w:r>
    </w:p>
    <w:p w14:paraId="20234C0F">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val="0"/>
          <w:bCs w:val="0"/>
          <w:i w:val="0"/>
          <w:iCs w:val="0"/>
          <w:color w:val="000000"/>
          <w:kern w:val="0"/>
          <w:sz w:val="20"/>
          <w:szCs w:val="20"/>
        </w:rPr>
        <w:t xml:space="preserve">Yamamoto TS, Inui R, Tada Y, Yokoyama S. Prospects of detection of subsolar mass primordial black hole and white dwarf binary mergers. arXiv 2004;arXiv:2401.00044. Available from https://arxiv.org/abs/2401.00044 [accessed 29 December 2023]. </w:t>
      </w:r>
    </w:p>
    <w:p w14:paraId="076C5762">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5"/>
          <w:rFonts w:ascii="Times New Roman" w:hAnsi="Times New Roman" w:eastAsia="宋体" w:cs="Times New Roman"/>
          <w:b/>
          <w:bCs/>
          <w:i/>
          <w:iCs/>
          <w:color w:val="000000"/>
          <w:kern w:val="0"/>
          <w:sz w:val="20"/>
          <w:szCs w:val="20"/>
        </w:rPr>
        <w:t>https://www.nlm.nih.gov/bsd/uniform_requirements.html)</w:t>
      </w:r>
      <w:r>
        <w:rPr>
          <w:rStyle w:val="15"/>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sectPr>
      <w:headerReference r:id="rId7" w:type="first"/>
      <w:footerReference r:id="rId9" w:type="first"/>
      <w:headerReference r:id="rId5" w:type="default"/>
      <w:footerReference r:id="rId8" w:type="default"/>
      <w:headerReference r:id="rId6"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1-06-04T09:53:31Z" w:initials="A">
    <w:p w14:paraId="78363282">
      <w:pPr>
        <w:pStyle w:val="4"/>
        <w:rPr>
          <w:rFonts w:hint="eastAsia"/>
        </w:rPr>
      </w:pPr>
      <w:r>
        <w:rPr>
          <w:rFonts w:hint="eastAsia"/>
        </w:rPr>
        <w:t xml:space="preserve">Please provide the DOI of each reference </w:t>
      </w:r>
    </w:p>
    <w:p w14:paraId="4C6810F2">
      <w:pPr>
        <w:pStyle w:val="4"/>
      </w:pPr>
      <w:r>
        <w:rPr>
          <w:rFonts w:hint="eastAsia"/>
        </w:rPr>
        <w:t>For example: Marescaux J, Clément JM, Tassetti V, et al. Virtual reality applied to hepatic surgery simulation: the next revolution. Ann. Surg. 1998;228:627–634. DOI: 10.1097/00000658-199811000-00001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6810F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8004B">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18BD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CFBC9F3">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485BC9C">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"http://hrjournal.net/"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.hr</w:t>
    </w:r>
    <w:r>
      <w:rPr>
        <w:rStyle w:val="15"/>
        <w:rFonts w:ascii="Arial" w:hAnsi="Arial"/>
        <w:b/>
        <w:bCs/>
        <w:sz w:val="16"/>
        <w:szCs w:val="16"/>
        <w:u w:val="none"/>
      </w:rPr>
      <w:t>journal.</w:t>
    </w:r>
    <w:r>
      <w:rPr>
        <w:rStyle w:val="15"/>
        <w:rFonts w:hint="eastAsia" w:ascii="Arial" w:hAnsi="Arial"/>
        <w:b/>
        <w:bCs/>
        <w:sz w:val="16"/>
        <w:szCs w:val="16"/>
        <w:u w:val="none"/>
      </w:rPr>
      <w:t>net</w:t>
    </w:r>
    <w:r>
      <w:rPr>
        <w:rStyle w:val="15"/>
        <w:rFonts w:hint="eastAsia" w:ascii="Arial" w:hAnsi="Arial"/>
        <w:b/>
        <w:bCs/>
        <w:sz w:val="16"/>
        <w:szCs w:val="16"/>
        <w:u w:val="none"/>
      </w:rPr>
      <w:fldChar w:fldCharType="end"/>
    </w:r>
  </w:p>
  <w:p w14:paraId="2BC30267">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36ACE">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7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Hepatoma Res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http://dx.doi.org/10.20517/2394-5079.xxxx.xx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2F64B">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Hepatoma Res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http://dx.doi.org/10.20517/2394-5079.xxxx.xx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7A81F">
    <w:pPr>
      <w:pStyle w:val="6"/>
    </w:pPr>
    <w:bookmarkStart w:id="8"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3016250</wp:posOffset>
              </wp:positionH>
              <wp:positionV relativeFrom="paragraph">
                <wp:posOffset>31750</wp:posOffset>
              </wp:positionV>
              <wp:extent cx="2426335" cy="48196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14:paraId="50CC9B22">
                          <w:pPr>
                            <w:wordWrap w:val="0"/>
                            <w:jc w:val="right"/>
                          </w:pPr>
                          <w:r>
                            <w:rPr>
                              <w:rFonts w:hint="eastAsia" w:ascii="Arial" w:hAnsi="Arial"/>
                              <w:b/>
                              <w:color w:val="003F9A"/>
                              <w:sz w:val="26"/>
                              <w:szCs w:val="26"/>
                            </w:rPr>
                            <w:t>Hepatoma Research</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7.5pt;margin-top:2.5pt;height:37.95pt;width:191.05pt;z-index:251660288;mso-width-relative:page;mso-height-relative:page;" fillcolor="#FFFFFF" filled="t" stroked="f" coordsize="21600,21600" o:gfxdata="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&#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rpAADXAAAACAEAAA8AAAAAAAAAAQAgAAAAIgAAAGRy&#10;cy9kb3ducmV2LnhtbFBLAQIUABQAAAAIAIdO4kBs/c9uPwIAAGkEAAAOAAAAAAAAAAEAIAAAACYB&#10;AABkcnMvZTJvRG9jLnhtbFBLBQYAAAAABgAGAFkBAADXBQAAAAA=&#10;">
              <v:fill on="t" opacity="0f" focussize="0,0"/>
              <v:stroke on="f"/>
              <v:imagedata o:title=""/>
              <o:lock v:ext="edit" aspectratio="f"/>
              <v:textbox>
                <w:txbxContent>
                  <w:p w14:paraId="50CC9B22">
                    <w:pPr>
                      <w:wordWrap w:val="0"/>
                      <w:jc w:val="right"/>
                    </w:pPr>
                    <w:r>
                      <w:rPr>
                        <w:rFonts w:hint="eastAsia" w:ascii="Arial" w:hAnsi="Arial"/>
                        <w:b/>
                        <w:color w:val="003F9A"/>
                        <w:sz w:val="26"/>
                        <w:szCs w:val="26"/>
                      </w:rPr>
                      <w:t>Hepatoma Research</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Hepatoma Res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10.20517/2394-5079.xxxx.xx</w:t>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mMTZiODgzNTc3NDE2YWM2MDQ3NjRkMzBiYWFhMmQifQ=="/>
  </w:docVars>
  <w:rsids>
    <w:rsidRoot w:val="00172A27"/>
    <w:rsid w:val="000178BA"/>
    <w:rsid w:val="00030B75"/>
    <w:rsid w:val="0003284A"/>
    <w:rsid w:val="000D5EBD"/>
    <w:rsid w:val="00117DFA"/>
    <w:rsid w:val="001220F4"/>
    <w:rsid w:val="001535A3"/>
    <w:rsid w:val="00172A27"/>
    <w:rsid w:val="0019510B"/>
    <w:rsid w:val="002040AF"/>
    <w:rsid w:val="00215AA9"/>
    <w:rsid w:val="00230020"/>
    <w:rsid w:val="00273491"/>
    <w:rsid w:val="0028241D"/>
    <w:rsid w:val="002C7694"/>
    <w:rsid w:val="00331E76"/>
    <w:rsid w:val="00343A08"/>
    <w:rsid w:val="003608FF"/>
    <w:rsid w:val="003B627D"/>
    <w:rsid w:val="00423880"/>
    <w:rsid w:val="0043414C"/>
    <w:rsid w:val="00497675"/>
    <w:rsid w:val="004F52CE"/>
    <w:rsid w:val="004F6725"/>
    <w:rsid w:val="005570D9"/>
    <w:rsid w:val="005C0998"/>
    <w:rsid w:val="005D5261"/>
    <w:rsid w:val="00606205"/>
    <w:rsid w:val="00637595"/>
    <w:rsid w:val="0064117B"/>
    <w:rsid w:val="00647D2D"/>
    <w:rsid w:val="00654D87"/>
    <w:rsid w:val="006709CA"/>
    <w:rsid w:val="00683FB9"/>
    <w:rsid w:val="00687134"/>
    <w:rsid w:val="007251A5"/>
    <w:rsid w:val="007D1FD5"/>
    <w:rsid w:val="008075EB"/>
    <w:rsid w:val="00813DE2"/>
    <w:rsid w:val="00842C21"/>
    <w:rsid w:val="00861745"/>
    <w:rsid w:val="0088009C"/>
    <w:rsid w:val="008A495C"/>
    <w:rsid w:val="008B5405"/>
    <w:rsid w:val="008E0507"/>
    <w:rsid w:val="00921419"/>
    <w:rsid w:val="00963C0B"/>
    <w:rsid w:val="009B00CA"/>
    <w:rsid w:val="009D2A24"/>
    <w:rsid w:val="009F421E"/>
    <w:rsid w:val="00A37A37"/>
    <w:rsid w:val="00A62E8F"/>
    <w:rsid w:val="00A67D59"/>
    <w:rsid w:val="00B42AC5"/>
    <w:rsid w:val="00B74EF5"/>
    <w:rsid w:val="00B916DA"/>
    <w:rsid w:val="00B97EB9"/>
    <w:rsid w:val="00BA09A1"/>
    <w:rsid w:val="00BB3538"/>
    <w:rsid w:val="00C5076C"/>
    <w:rsid w:val="00C6365E"/>
    <w:rsid w:val="00CA2500"/>
    <w:rsid w:val="00D16246"/>
    <w:rsid w:val="00D93A62"/>
    <w:rsid w:val="00DB4687"/>
    <w:rsid w:val="00DF5C43"/>
    <w:rsid w:val="00E31605"/>
    <w:rsid w:val="00EA21CF"/>
    <w:rsid w:val="00ED6905"/>
    <w:rsid w:val="00EE548B"/>
    <w:rsid w:val="00EE7B5F"/>
    <w:rsid w:val="00EF40FB"/>
    <w:rsid w:val="00F0613C"/>
    <w:rsid w:val="00F06ECE"/>
    <w:rsid w:val="00F26C58"/>
    <w:rsid w:val="00F37CB8"/>
    <w:rsid w:val="00FA1C77"/>
    <w:rsid w:val="00FA6414"/>
    <w:rsid w:val="00FC4246"/>
    <w:rsid w:val="0109259B"/>
    <w:rsid w:val="0109472D"/>
    <w:rsid w:val="011016B5"/>
    <w:rsid w:val="011D6D5F"/>
    <w:rsid w:val="011F3E8E"/>
    <w:rsid w:val="012E1FA3"/>
    <w:rsid w:val="012E3C09"/>
    <w:rsid w:val="013A63F4"/>
    <w:rsid w:val="013A7FD6"/>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30971"/>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D1577"/>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CE315C"/>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C84F34"/>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53D77"/>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3FD24EC"/>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654DC"/>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3A7FF4"/>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25C52"/>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autoRedefine/>
    <w:qFormat/>
    <w:uiPriority w:val="0"/>
    <w:rPr>
      <w:b/>
      <w:bCs/>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954F72" w:themeColor="followedHyperlink"/>
      <w:u w:val="single"/>
      <w14:textFill>
        <w14:solidFill>
          <w14:schemeClr w14:val="folHlink"/>
        </w14:solidFill>
      </w14:textFill>
    </w:rPr>
  </w:style>
  <w:style w:type="character" w:styleId="14">
    <w:name w:val="line number"/>
    <w:basedOn w:val="12"/>
    <w:autoRedefine/>
    <w:qFormat/>
    <w:uiPriority w:val="0"/>
  </w:style>
  <w:style w:type="character" w:styleId="15">
    <w:name w:val="Hyperlink"/>
    <w:basedOn w:val="12"/>
    <w:autoRedefine/>
    <w:qFormat/>
    <w:uiPriority w:val="0"/>
    <w:rPr>
      <w:color w:val="0000FF"/>
      <w:u w:val="single"/>
    </w:rPr>
  </w:style>
  <w:style w:type="character" w:styleId="16">
    <w:name w:val="annotation reference"/>
    <w:basedOn w:val="12"/>
    <w:autoRedefine/>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autoRedefine/>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autoRedefine/>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autoRedefine/>
    <w:qFormat/>
    <w:uiPriority w:val="0"/>
    <w:pPr>
      <w:tabs>
        <w:tab w:val="right" w:pos="8845"/>
      </w:tabs>
      <w:spacing w:line="160" w:lineRule="exact"/>
      <w:jc w:val="left"/>
    </w:pPr>
    <w:rPr>
      <w:sz w:val="16"/>
    </w:rPr>
  </w:style>
  <w:style w:type="paragraph" w:customStyle="1" w:styleId="21">
    <w:name w:val="MDPI_footer"/>
    <w:autoRedefine/>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autoRedefine/>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autoRedefine/>
    <w:qFormat/>
    <w:uiPriority w:val="0"/>
    <w:pPr>
      <w:spacing w:before="120" w:after="120"/>
      <w:ind w:left="709" w:firstLine="0"/>
      <w:jc w:val="center"/>
    </w:pPr>
  </w:style>
  <w:style w:type="paragraph" w:customStyle="1" w:styleId="26">
    <w:name w:val="MDPI_3.1_text"/>
    <w:autoRedefine/>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autoRedefine/>
    <w:qFormat/>
    <w:uiPriority w:val="0"/>
    <w:pPr>
      <w:spacing w:before="120" w:after="120" w:line="240" w:lineRule="auto"/>
      <w:ind w:firstLine="0"/>
      <w:jc w:val="right"/>
    </w:pPr>
  </w:style>
  <w:style w:type="character" w:customStyle="1" w:styleId="28">
    <w:name w:val="批注框文本 字符"/>
    <w:basedOn w:val="12"/>
    <w:link w:val="5"/>
    <w:autoRedefine/>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autoRedefine/>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xml"/><Relationship Id="rId14" Type="http://schemas.openxmlformats.org/officeDocument/2006/relationships/image" Target="media/image5.jpeg"/><Relationship Id="rId13" Type="http://schemas.openxmlformats.org/officeDocument/2006/relationships/image" Target="media/image4.png"/><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02542592"/>
        <c:axId val="202125248"/>
      </c:barChart>
      <c:catAx>
        <c:axId val="20254259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2125248"/>
        <c:crosses val="autoZero"/>
        <c:auto val="1"/>
        <c:lblAlgn val="ctr"/>
        <c:lblOffset val="100"/>
        <c:tickLblSkip val="1"/>
        <c:noMultiLvlLbl val="0"/>
      </c:catAx>
      <c:valAx>
        <c:axId val="20212524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2542592"/>
        <c:crosses val="autoZero"/>
        <c:crossBetween val="between"/>
      </c:valAx>
      <c:spPr>
        <a:noFill/>
        <a:ln>
          <a:noFill/>
        </a:ln>
        <a:effectLst/>
      </c:spPr>
    </c:plotArea>
    <c:plotVisOnly val="1"/>
    <c:dispBlanksAs val="gap"/>
    <c:showDLblsOverMax val="0"/>
    <c:extLst>
      <c:ext uri="{0b15fc19-7d7d-44ad-8c2d-2c3a37ce22c3}">
        <chartProps xmlns="https://web.wps.cn/et/2018/main" chartId="{31a8c69e-d698-4ad6-bafd-29b9840bfa8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1911</Words>
  <Characters>11372</Characters>
  <Lines>90</Lines>
  <Paragraphs>25</Paragraphs>
  <TotalTime>0</TotalTime>
  <ScaleCrop>false</ScaleCrop>
  <LinksUpToDate>false</LinksUpToDate>
  <CharactersWithSpaces>13131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陌上看花</cp:lastModifiedBy>
  <dcterms:modified xsi:type="dcterms:W3CDTF">2026-02-03T03:23:30Z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34FCFA2D85E943C5A111C1D2B892AF0C_13</vt:lpwstr>
  </property>
  <property fmtid="{D5CDD505-2E9C-101B-9397-08002B2CF9AE}" pid="4" name="KSOTemplateDocerSaveRecord">
    <vt:lpwstr>eyJoZGlkIjoiOTlhYzczMTE4ZTgyODU4NDg5ZmU1MTg4OTQ0NzQ2YWMiLCJ1c2VySWQiOiIxMDc2MTMyMTA1In0=</vt:lpwstr>
  </property>
</Properties>
</file>