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31799">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0A51984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06CF8FF">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3FEF8440">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A5414E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95148C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11FB6C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150ED1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p>
    <w:p w14:paraId="3530E17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298C955">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i/>
          <w:color w:val="808080" w:themeColor="background1" w:themeShade="80"/>
          <w:kern w:val="0"/>
          <w:sz w:val="18"/>
          <w:szCs w:val="18"/>
        </w:rPr>
        <w:t>]</w:t>
      </w:r>
    </w:p>
    <w:p w14:paraId="3A65FBF3">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64158AF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ascii="Times New Roman" w:hAnsi="Times New Roman" w:eastAsia="Times New Roman" w:cs="Times New Roman"/>
          <w:b/>
          <w:bCs/>
          <w:i/>
          <w:snapToGrid w:val="0"/>
          <w:color w:val="808080" w:themeColor="background1" w:themeShade="80"/>
          <w:kern w:val="0"/>
          <w:sz w:val="18"/>
          <w:szCs w:val="18"/>
          <w:lang w:bidi="en-US"/>
        </w:rPr>
        <w:t>“</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3"/>
          <w:rFonts w:ascii="Times New Roman" w:hAnsi="Times New Roman" w:cs="Times New Roman"/>
          <w:b/>
          <w:bCs/>
          <w:i/>
          <w:color w:val="808080" w:themeColor="background1" w:themeShade="80"/>
          <w:sz w:val="18"/>
          <w:szCs w:val="18"/>
        </w:rPr>
        <w:t>editorial office</w:t>
      </w:r>
      <w:r>
        <w:rPr>
          <w:rStyle w:val="13"/>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6F349BF0">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AC67D5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88841CE">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69069A19">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500781F4">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1E450A7D">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1375A3BF">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14E247A8">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5F80B86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FE940C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2F8E2B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217AE2A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7807C11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35212F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i/>
          <w:color w:val="808080" w:themeColor="background1" w:themeShade="80"/>
          <w:kern w:val="0"/>
          <w:sz w:val="18"/>
          <w:szCs w:val="18"/>
        </w:rPr>
        <w:t>]</w:t>
      </w:r>
    </w:p>
    <w:p w14:paraId="06AF848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B3E0D2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p>
    <w:p w14:paraId="199CACD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5F4FC61">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2150707">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 (</w:t>
      </w:r>
      <w:r>
        <w:rPr>
          <w:rFonts w:hint="eastAsia" w:ascii="Times New Roman" w:hAnsi="Times New Roman" w:cs="Times New Roman"/>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hint="eastAsia" w:ascii="Times New Roman" w:hAnsi="Times New Roman" w:cs="Times New Roman"/>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r>
        <w:fldChar w:fldCharType="begin"/>
      </w:r>
      <w:r>
        <w:instrText xml:space="preserve"> HYPERLINK "http://hrjournal.net/pages/view/author_statement" </w:instrText>
      </w:r>
      <w:r>
        <w:fldChar w:fldCharType="separate"/>
      </w:r>
      <w:r>
        <w:rPr>
          <w:rStyle w:val="13"/>
          <w:rFonts w:ascii="Times New Roman" w:hAnsi="Times New Roman" w:cs="Times New Roman"/>
          <w:b/>
          <w:bCs/>
          <w:i/>
          <w:iCs/>
          <w:sz w:val="18"/>
          <w:szCs w:val="18"/>
        </w:rPr>
        <w:t>Author Statement</w:t>
      </w:r>
      <w:r>
        <w:rPr>
          <w:rStyle w:val="13"/>
          <w:rFonts w:ascii="Times New Roman" w:hAnsi="Times New Roman" w:cs="Times New Roman"/>
          <w:b/>
          <w:bCs/>
          <w:i/>
          <w:iCs/>
          <w:sz w:val="18"/>
          <w:szCs w:val="18"/>
        </w:rPr>
        <w:fldChar w:fldCharType="end"/>
      </w:r>
      <w:r>
        <w:rPr>
          <w:rFonts w:hint="eastAsia" w:ascii="Times New Roman" w:hAnsi="Times New Roman" w:cs="Times New Roman"/>
          <w:b/>
          <w:bCs/>
          <w:i/>
          <w:iCs/>
          <w:color w:val="0C08B8"/>
          <w:sz w:val="18"/>
          <w:szCs w:val="18"/>
          <w:u w:val="single"/>
        </w:rPr>
        <w:t>)</w:t>
      </w:r>
      <w:r>
        <w:rPr>
          <w:rFonts w:ascii="Times New Roman" w:hAnsi="Times New Roman" w:cs="Times New Roman"/>
          <w:b/>
          <w:bCs/>
          <w:i/>
          <w:iCs/>
          <w:color w:val="808080" w:themeColor="background1" w:themeShade="80"/>
          <w:sz w:val="18"/>
          <w:szCs w:val="18"/>
        </w:rPr>
        <w:t xml:space="preserve"> and provide a statement </w:t>
      </w:r>
      <w:r>
        <w:rPr>
          <w:rFonts w:hint="eastAsia" w:ascii="Times New Roman" w:hAnsi="Times New Roman" w:cs="Times New Roman"/>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hint="eastAsia" w:ascii="Times New Roman" w:hAnsi="Times New Roman" w:cs="Times New Roman"/>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74F25757">
      <w:pPr>
        <w:widowControl/>
        <w:adjustRightInd w:val="0"/>
        <w:snapToGrid w:val="0"/>
        <w:spacing w:before="156" w:beforeLines="50" w:line="260" w:lineRule="atLeast"/>
        <w:ind w:left="420" w:leftChars="20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3329BAB7">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3B6313D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"http://www.oaepublish.com/files/tpl/hr/Template_for_Supplementary_Material_hr.docx"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4CAB9F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9D760F7">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39DEF5F">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48A71A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6DFE403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06FC6813">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2886C8C7">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1BBB274A">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65B60B01">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4AE75BB3">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5424D2B6">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72AA4A95">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4FAA4F4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375AB23E">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7061028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30423A2C">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38623029">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6073DADE">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666DDF65">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5F64C60F">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27B5523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691E0F54">
            <w:pPr>
              <w:pStyle w:val="20"/>
              <w:spacing w:line="360" w:lineRule="auto"/>
              <w:jc w:val="left"/>
              <w:rPr>
                <w:lang w:val="de-DE"/>
              </w:rPr>
            </w:pPr>
          </w:p>
        </w:tc>
        <w:tc>
          <w:tcPr>
            <w:tcW w:w="1256" w:type="dxa"/>
            <w:vMerge w:val="continue"/>
            <w:vAlign w:val="center"/>
          </w:tcPr>
          <w:p w14:paraId="5230979C">
            <w:pPr>
              <w:pStyle w:val="20"/>
              <w:spacing w:line="360" w:lineRule="auto"/>
              <w:jc w:val="left"/>
              <w:rPr>
                <w:lang w:val="de-DE"/>
              </w:rPr>
            </w:pPr>
          </w:p>
        </w:tc>
        <w:tc>
          <w:tcPr>
            <w:tcW w:w="1211" w:type="dxa"/>
            <w:vMerge w:val="continue"/>
            <w:vAlign w:val="center"/>
          </w:tcPr>
          <w:p w14:paraId="1A20521A">
            <w:pPr>
              <w:pStyle w:val="20"/>
              <w:spacing w:line="360" w:lineRule="auto"/>
              <w:jc w:val="left"/>
              <w:rPr>
                <w:lang w:val="de-DE"/>
              </w:rPr>
            </w:pPr>
          </w:p>
        </w:tc>
        <w:tc>
          <w:tcPr>
            <w:tcW w:w="1159" w:type="dxa"/>
            <w:vMerge w:val="continue"/>
            <w:vAlign w:val="center"/>
          </w:tcPr>
          <w:p w14:paraId="6975FAEF">
            <w:pPr>
              <w:pStyle w:val="20"/>
              <w:spacing w:line="360" w:lineRule="auto"/>
              <w:jc w:val="left"/>
              <w:rPr>
                <w:lang w:val="de-DE"/>
              </w:rPr>
            </w:pPr>
          </w:p>
        </w:tc>
        <w:tc>
          <w:tcPr>
            <w:tcW w:w="1179" w:type="dxa"/>
            <w:vAlign w:val="center"/>
          </w:tcPr>
          <w:p w14:paraId="378B42C4">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6BCFF87A">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5CF494C3">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59F4BDB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242830BD">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59FB2C50">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7092B07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661C943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0E0B9EC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42BC24F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4EEE8D5E">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558C4B8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016B3C5B">
            <w:pPr>
              <w:pStyle w:val="20"/>
              <w:spacing w:line="360" w:lineRule="auto"/>
              <w:jc w:val="left"/>
              <w:rPr>
                <w:lang w:val="de-DE"/>
              </w:rPr>
            </w:pPr>
          </w:p>
        </w:tc>
        <w:tc>
          <w:tcPr>
            <w:tcW w:w="1256" w:type="dxa"/>
            <w:vMerge w:val="continue"/>
            <w:vAlign w:val="center"/>
          </w:tcPr>
          <w:p w14:paraId="401C07C4">
            <w:pPr>
              <w:pStyle w:val="20"/>
              <w:spacing w:line="360" w:lineRule="auto"/>
              <w:jc w:val="left"/>
              <w:rPr>
                <w:lang w:val="de-DE"/>
              </w:rPr>
            </w:pPr>
          </w:p>
        </w:tc>
        <w:tc>
          <w:tcPr>
            <w:tcW w:w="1211" w:type="dxa"/>
            <w:vMerge w:val="continue"/>
            <w:vAlign w:val="center"/>
          </w:tcPr>
          <w:p w14:paraId="6CBDCCB2">
            <w:pPr>
              <w:pStyle w:val="20"/>
              <w:spacing w:line="360" w:lineRule="auto"/>
              <w:jc w:val="left"/>
              <w:rPr>
                <w:lang w:val="de-DE"/>
              </w:rPr>
            </w:pPr>
          </w:p>
        </w:tc>
        <w:tc>
          <w:tcPr>
            <w:tcW w:w="1159" w:type="dxa"/>
            <w:vMerge w:val="continue"/>
            <w:vAlign w:val="center"/>
          </w:tcPr>
          <w:p w14:paraId="78922FDC">
            <w:pPr>
              <w:pStyle w:val="20"/>
              <w:spacing w:line="360" w:lineRule="auto"/>
              <w:jc w:val="left"/>
              <w:rPr>
                <w:lang w:val="de-DE"/>
              </w:rPr>
            </w:pPr>
          </w:p>
        </w:tc>
        <w:tc>
          <w:tcPr>
            <w:tcW w:w="1179" w:type="dxa"/>
            <w:vAlign w:val="center"/>
          </w:tcPr>
          <w:p w14:paraId="0641496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5A8BBA39">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50F7D2F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7D88218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6A9AAFDC">
            <w:pPr>
              <w:pStyle w:val="20"/>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1E042D94">
            <w:pPr>
              <w:pStyle w:val="20"/>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43830624">
            <w:pPr>
              <w:pStyle w:val="20"/>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4DFFE617">
            <w:pPr>
              <w:pStyle w:val="20"/>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3934DF3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57E5AC9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625496C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57C7A08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6E6F637E">
            <w:pPr>
              <w:pStyle w:val="20"/>
              <w:spacing w:line="360" w:lineRule="auto"/>
              <w:jc w:val="left"/>
              <w:rPr>
                <w:lang w:val="de-DE"/>
              </w:rPr>
            </w:pPr>
          </w:p>
        </w:tc>
        <w:tc>
          <w:tcPr>
            <w:tcW w:w="1256" w:type="dxa"/>
            <w:vMerge w:val="continue"/>
            <w:vAlign w:val="center"/>
          </w:tcPr>
          <w:p w14:paraId="6DE50F0E">
            <w:pPr>
              <w:pStyle w:val="20"/>
              <w:spacing w:line="360" w:lineRule="auto"/>
              <w:jc w:val="left"/>
              <w:rPr>
                <w:lang w:val="de-DE"/>
              </w:rPr>
            </w:pPr>
          </w:p>
        </w:tc>
        <w:tc>
          <w:tcPr>
            <w:tcW w:w="1211" w:type="dxa"/>
            <w:vMerge w:val="continue"/>
            <w:vAlign w:val="center"/>
          </w:tcPr>
          <w:p w14:paraId="069D254E">
            <w:pPr>
              <w:pStyle w:val="20"/>
              <w:spacing w:line="360" w:lineRule="auto"/>
              <w:jc w:val="left"/>
              <w:rPr>
                <w:lang w:val="de-DE"/>
              </w:rPr>
            </w:pPr>
          </w:p>
        </w:tc>
        <w:tc>
          <w:tcPr>
            <w:tcW w:w="1159" w:type="dxa"/>
            <w:vMerge w:val="continue"/>
            <w:vAlign w:val="center"/>
          </w:tcPr>
          <w:p w14:paraId="7541432E">
            <w:pPr>
              <w:pStyle w:val="20"/>
              <w:spacing w:line="360" w:lineRule="auto"/>
              <w:jc w:val="left"/>
              <w:rPr>
                <w:lang w:val="de-DE"/>
              </w:rPr>
            </w:pPr>
          </w:p>
        </w:tc>
        <w:tc>
          <w:tcPr>
            <w:tcW w:w="1179" w:type="dxa"/>
            <w:vAlign w:val="center"/>
          </w:tcPr>
          <w:p w14:paraId="1458756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3CADAB0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1430C09B">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088D27B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7D3B0D8D">
            <w:pPr>
              <w:pStyle w:val="20"/>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7BF2494B">
            <w:pPr>
              <w:pStyle w:val="20"/>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018B2760">
            <w:pPr>
              <w:pStyle w:val="20"/>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5C838F2C">
            <w:pPr>
              <w:pStyle w:val="20"/>
              <w:spacing w:line="360" w:lineRule="auto"/>
              <w:jc w:val="left"/>
              <w:rPr>
                <w:rFonts w:ascii="Times New Roman" w:hAnsi="Times New Roman" w:eastAsia="宋体" w:cs="Times New Roman"/>
                <w:sz w:val="18"/>
                <w:szCs w:val="18"/>
                <w:lang w:val="de-DE" w:eastAsia="zh-CN"/>
              </w:rPr>
            </w:pPr>
          </w:p>
        </w:tc>
        <w:tc>
          <w:tcPr>
            <w:tcW w:w="1179" w:type="dxa"/>
            <w:vAlign w:val="center"/>
          </w:tcPr>
          <w:p w14:paraId="34F82482">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0925266A">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706996A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676A384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0BCC4F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99BC94D">
      <w:pPr>
        <w:numPr>
          <w:ilvl w:val="0"/>
          <w:numId w:val="3"/>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w:t>
      </w:r>
      <w:r>
        <w:rPr>
          <w:rFonts w:hint="eastAsia" w:ascii="Times New Roman" w:hAnsi="Times New Roman" w:cs="Times New Roman"/>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04462353">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44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B0CF353">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4C5476D4">
            <w:pPr>
              <w:pStyle w:val="24"/>
              <w:spacing w:line="260" w:lineRule="atLeast"/>
              <w:jc w:val="center"/>
              <w:rPr>
                <w:rFonts w:ascii="Times New Roman" w:hAnsi="Times New Roman"/>
              </w:rPr>
            </w:pPr>
            <w:r>
              <w:rPr>
                <w:rFonts w:ascii="Times New Roman" w:hAnsi="Times New Roman"/>
              </w:rPr>
              <w:t>(1)</w:t>
            </w:r>
          </w:p>
        </w:tc>
      </w:tr>
    </w:tbl>
    <w:p w14:paraId="0CEB44D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E63856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40C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678DE1D">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3"/>
                          <a:srcRect l="3164" t="6153" b="8690"/>
                          <a:stretch>
                            <a:fillRect/>
                          </a:stretch>
                        </pic:blipFill>
                        <pic:spPr>
                          <a:xfrm>
                            <a:off x="0" y="0"/>
                            <a:ext cx="2377440" cy="1567815"/>
                          </a:xfrm>
                          <a:prstGeom prst="rect">
                            <a:avLst/>
                          </a:prstGeom>
                        </pic:spPr>
                      </pic:pic>
                    </a:graphicData>
                  </a:graphic>
                </wp:inline>
              </w:drawing>
            </w:r>
          </w:p>
          <w:p w14:paraId="3CDD11DF">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7D6C481">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4"/>
                          <a:srcRect/>
                          <a:stretch>
                            <a:fillRect/>
                          </a:stretch>
                        </pic:blipFill>
                        <pic:spPr>
                          <a:xfrm>
                            <a:off x="0" y="0"/>
                            <a:ext cx="2377440" cy="1567815"/>
                          </a:xfrm>
                          <a:prstGeom prst="rect">
                            <a:avLst/>
                          </a:prstGeom>
                        </pic:spPr>
                      </pic:pic>
                    </a:graphicData>
                  </a:graphic>
                </wp:inline>
              </w:drawing>
            </w:r>
          </w:p>
          <w:p w14:paraId="7E3D826F">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0F1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B98EDE4">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5"/>
                          <a:stretch>
                            <a:fillRect/>
                          </a:stretch>
                        </pic:blipFill>
                        <pic:spPr>
                          <a:xfrm>
                            <a:off x="0" y="0"/>
                            <a:ext cx="2486660" cy="1637665"/>
                          </a:xfrm>
                          <a:prstGeom prst="rect">
                            <a:avLst/>
                          </a:prstGeom>
                        </pic:spPr>
                      </pic:pic>
                    </a:graphicData>
                  </a:graphic>
                </wp:inline>
              </w:drawing>
            </w:r>
          </w:p>
          <w:p w14:paraId="55F8616C">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4EE80B8E">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92C056B">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580368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hint="eastAsia" w:ascii="Times New Roman" w:hAnsi="Times New Roman" w:cs="Times New Roman"/>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72E4BF3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hint="eastAsia" w:ascii="Times New Roman" w:hAnsi="Times New Roman" w:cs="Times New Roman"/>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3B9EC82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hint="eastAsia" w:ascii="Times New Roman" w:hAnsi="Times New Roman" w:cs="Times New Roman"/>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authors should </w:t>
      </w:r>
      <w:bookmarkStart w:id="4" w:name="OLE_LINK11"/>
      <w:r>
        <w:rPr>
          <w:rFonts w:hint="eastAsia" w:ascii="Times New Roman" w:hAnsi="Times New Roman" w:cs="Times New Roman"/>
          <w:b/>
          <w:bCs/>
          <w:i/>
          <w:iCs/>
          <w:color w:val="808080" w:themeColor="background1" w:themeShade="80"/>
          <w:sz w:val="18"/>
          <w:szCs w:val="18"/>
        </w:rPr>
        <w:t>obtain copyright permission</w:t>
      </w:r>
      <w:bookmarkEnd w:id="4"/>
      <w:r>
        <w:rPr>
          <w:rFonts w:hint="eastAsia" w:ascii="Times New Roman" w:hAnsi="Times New Roman" w:cs="Times New Roman"/>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hint="eastAsia" w:ascii="Times New Roman" w:hAnsi="Times New Roman" w:cs="Times New Roman"/>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it. For more details, </w:t>
      </w:r>
      <w:bookmarkStart w:id="5" w:name="OLE_LINK10"/>
      <w:r>
        <w:rPr>
          <w:rFonts w:hint="eastAsia" w:ascii="Times New Roman" w:hAnsi="Times New Roman" w:cs="Times New Roman"/>
          <w:b/>
          <w:bCs/>
          <w:i/>
          <w:iCs/>
          <w:color w:val="808080" w:themeColor="background1" w:themeShade="80"/>
          <w:sz w:val="18"/>
          <w:szCs w:val="18"/>
        </w:rPr>
        <w:t xml:space="preserve">see </w:t>
      </w:r>
      <w:r>
        <w:fldChar w:fldCharType="begin"/>
      </w:r>
      <w:r>
        <w:instrText xml:space="preserve"> HYPERLINK "http://hrjournal.net/pages/view/author_statement" </w:instrText>
      </w:r>
      <w:r>
        <w:fldChar w:fldCharType="separate"/>
      </w:r>
      <w:r>
        <w:rPr>
          <w:rStyle w:val="13"/>
          <w:rFonts w:hint="eastAsia" w:ascii="Times New Roman" w:hAnsi="Times New Roman" w:cs="Times New Roman"/>
          <w:b/>
          <w:bCs/>
          <w:i/>
          <w:iCs/>
          <w:sz w:val="18"/>
          <w:szCs w:val="18"/>
        </w:rPr>
        <w:t>Author Statement</w:t>
      </w:r>
      <w:r>
        <w:rPr>
          <w:rStyle w:val="13"/>
          <w:rFonts w:hint="eastAsia" w:ascii="Times New Roman" w:hAnsi="Times New Roman" w:cs="Times New Roman"/>
          <w:b/>
          <w:bCs/>
          <w:i/>
          <w:iCs/>
          <w:sz w:val="18"/>
          <w:szCs w:val="18"/>
        </w:rPr>
        <w:fldChar w:fldCharType="end"/>
      </w:r>
      <w:r>
        <w:rPr>
          <w:rFonts w:hint="eastAsia" w:ascii="Times New Roman" w:hAnsi="Times New Roman" w:cs="Times New Roman"/>
          <w:b/>
          <w:bCs/>
          <w:i/>
          <w:iCs/>
          <w:color w:val="808080" w:themeColor="background1" w:themeShade="80"/>
          <w:sz w:val="18"/>
          <w:szCs w:val="18"/>
        </w:rPr>
        <w:t>.</w:t>
      </w:r>
      <w:bookmarkEnd w:id="5"/>
    </w:p>
    <w:p w14:paraId="0FE1D6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6CA9842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78C6B627">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1930446F">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3CC135C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3DFF71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4E6932A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894E96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40CCCD8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239AC31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391E8D1">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14:paraId="2A63C9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hint="eastAsia" w:ascii="Times New Roman" w:hAnsi="Times New Roman" w:cs="Times New Roman"/>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697CBE5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14:paraId="24E6ADAA">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7907EF88">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787A5D6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1D6500B3">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298E75FB">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291E40EF">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1006900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w:t>
      </w:r>
    </w:p>
    <w:p w14:paraId="7F527C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14:paraId="7085314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0D41C59D">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p>
    <w:p w14:paraId="3EE030C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1" w:name="_GoBack"/>
      <w:bookmarkEnd w:id="11"/>
      <w:r>
        <w:rPr>
          <w:rFonts w:ascii="Times New Roman" w:hAnsi="Times New Roman" w:eastAsia="宋体" w:cs="Times New Roman"/>
          <w:b/>
          <w:bCs/>
          <w:iCs/>
          <w:color w:val="000000"/>
          <w:kern w:val="0"/>
          <w:sz w:val="22"/>
          <w:szCs w:val="22"/>
        </w:rPr>
        <w:t>Financial support and sponsorship</w:t>
      </w:r>
    </w:p>
    <w:p w14:paraId="3810CE60">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14:paraId="01E429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This work was supported by Grant name XX (No. XXX; No. XXX)...</w:t>
      </w:r>
    </w:p>
    <w:p w14:paraId="79999F17">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14:paraId="6598D4B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6F52BFD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14:paraId="15D10BD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10DF5CC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725B97C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14:paraId="4FBAE67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1416746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50338AE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14:paraId="0A5DF86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4ACD79A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3F8F14A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77BD5B18">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1A0C7CD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556D46CE">
      <w:pPr>
        <w:adjustRightInd w:val="0"/>
        <w:snapToGrid w:val="0"/>
        <w:spacing w:before="156" w:beforeLines="50" w:after="156" w:afterLines="50" w:line="260" w:lineRule="atLeast"/>
        <w:ind w:left="420" w:leftChars="200"/>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729D7C9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E21A89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34A9E4E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333903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29B6FACB">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432642D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30F310B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61328F74">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727B1EE6">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668BEFB9">
      <w:pPr>
        <w:widowControl/>
        <w:spacing w:line="260" w:lineRule="atLeast"/>
        <w:rPr>
          <w:rFonts w:hint="default" w:ascii="Times New Roman" w:hAnsi="Times New Roman" w:eastAsia="宋体" w:cs="Times New Roman"/>
          <w:b/>
          <w:bCs/>
          <w:i/>
          <w:iCs/>
          <w:color w:val="000000"/>
          <w:kern w:val="0"/>
          <w:sz w:val="20"/>
          <w:szCs w:val="20"/>
        </w:rPr>
      </w:pPr>
    </w:p>
    <w:p w14:paraId="36093D2E">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4EDD394C">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23F906D5">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3682BBA0">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5D9AAE2D">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358E5648">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001501A2">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0A8C9436">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7DB1523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0CDB012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0AA056B4">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13D0654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4534B27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1E0CBCD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3"/>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45AE2D4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5707C3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7C7A0C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0BDCB71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60CCAFC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7524FD7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31C5B41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26A50C7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69CCE92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7C9C246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20B66CD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33EF8DD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25C51A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714D395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18979E2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077B6C6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306C8AF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bookmarkStart w:id="9" w:name="OLE_LINK1"/>
      <w:r>
        <w:rPr>
          <w:rFonts w:hint="default" w:ascii="Times New Roman" w:hAnsi="Times New Roman" w:eastAsia="宋体" w:cs="Times New Roman"/>
          <w:b/>
          <w:bCs/>
          <w:i/>
          <w:iCs/>
          <w:color w:val="000000"/>
          <w:kern w:val="0"/>
          <w:sz w:val="20"/>
          <w:szCs w:val="20"/>
        </w:rPr>
        <w:t>Patent</w:t>
      </w:r>
    </w:p>
    <w:p w14:paraId="24414AA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bookmarkEnd w:id="9"/>
    </w:p>
    <w:p w14:paraId="6FB3987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634EF0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650E463C">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49:57Z" w:initials="A">
    <w:p w14:paraId="3B1759DF">
      <w:pPr>
        <w:pStyle w:val="4"/>
        <w:rPr>
          <w:rFonts w:hint="eastAsia"/>
        </w:rPr>
      </w:pPr>
      <w:r>
        <w:rPr>
          <w:rFonts w:hint="eastAsia"/>
        </w:rPr>
        <w:t xml:space="preserve">Please provide the DOI of each reference </w:t>
      </w:r>
    </w:p>
    <w:p w14:paraId="105458E3">
      <w:pPr>
        <w:pStyle w:val="4"/>
      </w:pPr>
      <w:r>
        <w:rPr>
          <w:rFonts w:hint="eastAsia"/>
        </w:rPr>
        <w:t>For example: Marescaux J, Clément JM, Tassetti V, et al. Virtual reality applied to hepatic surgery simulation: the next revolution. Ann. Surg. 1998;228:627–634. DOI: 10.1097/00000658-199811000-00001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5458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658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82B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2FB599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911942">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003F9A"/>
        <w:sz w:val="16"/>
        <w:szCs w:val="16"/>
      </w:rPr>
      <w:t>www.</w:t>
    </w:r>
    <w:r>
      <w:rPr>
        <w:rFonts w:hint="eastAsia" w:ascii="Arial" w:hAnsi="Arial"/>
        <w:b/>
        <w:bCs/>
        <w:color w:val="003F9A"/>
        <w:sz w:val="16"/>
        <w:szCs w:val="16"/>
      </w:rPr>
      <w:t>hr</w:t>
    </w:r>
    <w:r>
      <w:rPr>
        <w:rFonts w:ascii="Arial" w:hAnsi="Arial"/>
        <w:b/>
        <w:bCs/>
        <w:color w:val="003F9A"/>
        <w:sz w:val="16"/>
        <w:szCs w:val="16"/>
      </w:rPr>
      <w:t>journal.</w:t>
    </w:r>
    <w:r>
      <w:rPr>
        <w:rFonts w:hint="eastAsia" w:ascii="Arial" w:hAnsi="Arial"/>
        <w:b/>
        <w:bCs/>
        <w:color w:val="003F9A"/>
        <w:sz w:val="16"/>
        <w:szCs w:val="16"/>
      </w:rPr>
      <w:t>net</w:t>
    </w:r>
  </w:p>
  <w:p w14:paraId="4D833CB9">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698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532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1AE0">
    <w:pPr>
      <w:pStyle w:val="6"/>
    </w:pPr>
    <w:bookmarkStart w:id="10"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3027680</wp:posOffset>
              </wp:positionH>
              <wp:positionV relativeFrom="paragraph">
                <wp:posOffset>22860</wp:posOffset>
              </wp:positionV>
              <wp:extent cx="2426335" cy="4819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42048995">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8.4pt;margin-top:1.8pt;height:37.95pt;width:191.05pt;z-index:251660288;mso-width-relative:page;mso-height-relative:page;" fillcolor="#FFFFFF" filled="t" stroked="f" coordsize="21600,21600" o:gfxdata="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yoyydgAAAAIAQAADwAAAAAAAAABACAAAAAiAAAAZHJzL2Rv&#10;d25yZXYueG1sUEsBAhQAFAAAAAgAh07iQFz47/U6AgAAWwQAAA4AAAAAAAAAAQAgAAAAJwEAAGRy&#10;cy9lMm9Eb2MueG1sUEsFBgAAAAAGAAYAWQEAANMFAAAAAA==&#10;">
              <v:fill on="t" opacity="0f" focussize="0,0"/>
              <v:stroke on="f"/>
              <v:imagedata o:title=""/>
              <o:lock v:ext="edit" aspectratio="f"/>
              <v:textbox>
                <w:txbxContent>
                  <w:p w14:paraId="42048995">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Hepatoma Res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78BA"/>
    <w:rsid w:val="00030B75"/>
    <w:rsid w:val="0003284A"/>
    <w:rsid w:val="000B0C86"/>
    <w:rsid w:val="000D5EBD"/>
    <w:rsid w:val="001353D8"/>
    <w:rsid w:val="001522FB"/>
    <w:rsid w:val="00172A27"/>
    <w:rsid w:val="0019510B"/>
    <w:rsid w:val="001A05F6"/>
    <w:rsid w:val="0027022E"/>
    <w:rsid w:val="00273491"/>
    <w:rsid w:val="00331E76"/>
    <w:rsid w:val="00345EE0"/>
    <w:rsid w:val="003608FF"/>
    <w:rsid w:val="003B627D"/>
    <w:rsid w:val="003D2452"/>
    <w:rsid w:val="003F7D14"/>
    <w:rsid w:val="00423880"/>
    <w:rsid w:val="00497675"/>
    <w:rsid w:val="004F52CE"/>
    <w:rsid w:val="00515144"/>
    <w:rsid w:val="005570D9"/>
    <w:rsid w:val="00637595"/>
    <w:rsid w:val="00754114"/>
    <w:rsid w:val="007D1FD5"/>
    <w:rsid w:val="008075EB"/>
    <w:rsid w:val="00837331"/>
    <w:rsid w:val="00842C21"/>
    <w:rsid w:val="008A495C"/>
    <w:rsid w:val="008B12D9"/>
    <w:rsid w:val="00921419"/>
    <w:rsid w:val="00A37A37"/>
    <w:rsid w:val="00AF43EB"/>
    <w:rsid w:val="00B42AC5"/>
    <w:rsid w:val="00B74EF5"/>
    <w:rsid w:val="00B975A9"/>
    <w:rsid w:val="00BA641E"/>
    <w:rsid w:val="00BB3538"/>
    <w:rsid w:val="00BC1A1C"/>
    <w:rsid w:val="00C4528F"/>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EF32E7"/>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3FE13A1"/>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2E58"/>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2F6922"/>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alloon Text"/>
    <w:basedOn w:val="1"/>
    <w:link w:val="25"/>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1901</Words>
  <Characters>11177</Characters>
  <Lines>89</Lines>
  <Paragraphs>25</Paragraphs>
  <TotalTime>0</TotalTime>
  <ScaleCrop>false</ScaleCrop>
  <LinksUpToDate>false</LinksUpToDate>
  <CharactersWithSpaces>12916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陌上看花</cp:lastModifiedBy>
  <dcterms:modified xsi:type="dcterms:W3CDTF">2026-02-03T03:23:17Z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F9B8908A93604D16ACEBA192523FF057_13</vt:lpwstr>
  </property>
  <property fmtid="{D5CDD505-2E9C-101B-9397-08002B2CF9AE}" pid="4" name="KSOTemplateDocerSaveRecord">
    <vt:lpwstr>eyJoZGlkIjoiOTlhYzczMTE4ZTgyODU4NDg5ZmU1MTg4OTQ0NzQ2YWMiLCJ1c2VySWQiOiIxMDc2MTMyMTA1In0=</vt:lpwstr>
  </property>
</Properties>
</file>