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B8EF" w14:textId="77777777" w:rsidR="00434D96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3068A2F5" w14:textId="77777777" w:rsidR="00434D96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Journal of Surveillance, Security, and Safety</w:t>
      </w:r>
      <w:r>
        <w:rPr>
          <w:rFonts w:ascii="Times New Roman" w:hAnsi="Times New Roman" w:cs="Times New Roman" w:hint="eastAsia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14:paraId="39406DB1" w14:textId="77777777" w:rsidR="00434D9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</w:t>
      </w:r>
      <w:proofErr w:type="spellEnd"/>
      <w:proofErr w:type="gram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7BCED39" w14:textId="77777777" w:rsidR="00434D96" w:rsidRDefault="00000000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25E5A051" w14:textId="77777777" w:rsidR="00434D96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proofErr w:type="spellStart"/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CityPostcode</w:t>
      </w:r>
      <w:proofErr w:type="spellEnd"/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7543F999" w14:textId="77777777" w:rsidR="00434D96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4BCB48EF" w14:textId="77777777" w:rsidR="00434D96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proofErr w:type="spellStart"/>
      <w:proofErr w:type="gramStart"/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CityPostcode,Province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</w:p>
    <w:p w14:paraId="50B9D775" w14:textId="77777777" w:rsidR="00434D96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proofErr w:type="spellStart"/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ForenameSurname</w:t>
      </w:r>
      <w:proofErr w:type="spellEnd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8" w:history="1">
        <w:r>
          <w:rPr>
            <w:rStyle w:val="ac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14:paraId="048B8D28" w14:textId="77777777" w:rsidR="00434D96" w:rsidRDefault="00000000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78B2EF5A" w14:textId="77777777" w:rsidR="00434D96" w:rsidRDefault="00000000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2020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039535E7" w14:textId="77777777" w:rsidR="00434D96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0E41891B" w14:textId="77777777" w:rsidR="00434D96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</w:t>
      </w:r>
      <w:proofErr w:type="spellStart"/>
      <w:proofErr w:type="gramStart"/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follow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.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</w:t>
      </w:r>
      <w:proofErr w:type="spellEnd"/>
      <w:proofErr w:type="gramEnd"/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>
          <w:rPr>
            <w:rStyle w:val="ac"/>
            <w:rFonts w:ascii="Times New Roman" w:hAnsi="Times New Roman"/>
            <w:b/>
            <w:bCs/>
            <w:i/>
            <w:sz w:val="18"/>
            <w:szCs w:val="18"/>
          </w:rPr>
          <w:t>editorial@</w:t>
        </w:r>
        <w:r>
          <w:rPr>
            <w:rStyle w:val="ac"/>
            <w:rFonts w:ascii="Times New Roman" w:hAnsi="Times New Roman" w:hint="eastAsia"/>
            <w:b/>
            <w:bCs/>
            <w:i/>
            <w:sz w:val="18"/>
            <w:szCs w:val="18"/>
          </w:rPr>
          <w:t>evcna</w:t>
        </w:r>
        <w:r>
          <w:rPr>
            <w:rStyle w:val="ac"/>
            <w:rFonts w:ascii="Times New Roman" w:hAnsi="Times New Roman"/>
            <w:b/>
            <w:bCs/>
            <w:i/>
            <w:sz w:val="18"/>
            <w:szCs w:val="18"/>
          </w:rPr>
          <w:t>.com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03358E67" w14:textId="77777777" w:rsidR="00434D96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38A4C4BC" w14:textId="77777777" w:rsidR="00434D9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>Equation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41C266F" w14:textId="77777777" w:rsidR="00434D96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Table </w:t>
      </w:r>
      <w:proofErr w:type="gramStart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434D96" w14:paraId="22D1236F" w14:textId="77777777" w:rsidTr="00434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66FB3B66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4F22B868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02094D65" w14:textId="77777777" w:rsidR="00434D96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39EAC67A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7ECD054B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1A511053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32EC0038" w14:textId="77777777" w:rsidR="00434D9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434D96" w14:paraId="35E51229" w14:textId="77777777" w:rsidTr="00434D96">
        <w:trPr>
          <w:trHeight w:val="394"/>
        </w:trPr>
        <w:tc>
          <w:tcPr>
            <w:tcW w:w="1533" w:type="dxa"/>
          </w:tcPr>
          <w:p w14:paraId="4C4930EA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2EE667D0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58295221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4440A556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7F13BCEA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334353B2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38EEA2B7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434D96" w14:paraId="5AEE409C" w14:textId="77777777" w:rsidTr="00434D96">
        <w:trPr>
          <w:trHeight w:val="399"/>
        </w:trPr>
        <w:tc>
          <w:tcPr>
            <w:tcW w:w="1533" w:type="dxa"/>
          </w:tcPr>
          <w:p w14:paraId="2FF673E8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1CC949EC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7125B6E0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4EE5AEE7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5C73B3C0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5DC3B2CD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37AF4B73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434D96" w14:paraId="4F7E573A" w14:textId="77777777" w:rsidTr="00434D96">
        <w:trPr>
          <w:trHeight w:val="399"/>
        </w:trPr>
        <w:tc>
          <w:tcPr>
            <w:tcW w:w="1533" w:type="dxa"/>
          </w:tcPr>
          <w:p w14:paraId="0131859B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</w:tcPr>
          <w:p w14:paraId="63DF321F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0492AC8D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09F261A3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32985779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19608BB6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27DC74EC" w14:textId="77777777" w:rsidR="00434D9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3CE52F93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OS: overall </w:t>
      </w:r>
      <w:proofErr w:type="spellStart"/>
      <w:proofErr w:type="gramStart"/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survival;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</w:t>
      </w:r>
      <w:proofErr w:type="spellStart"/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prednisone;CIOP</w:t>
      </w:r>
      <w:proofErr w:type="spellEnd"/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3F5EFCA2" w14:textId="77777777" w:rsidR="00434D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3A0EB1B6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Tables should be cited in numeric order and placed after the paragraph where it is first cited;</w:t>
      </w:r>
    </w:p>
    <w:p w14:paraId="60C46B4E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6A558785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E3CE0A4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3082DFED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27D553C0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DFABF9F" w14:textId="77777777" w:rsidR="00434D9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9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434D96" w14:paraId="06F4F1B2" w14:textId="77777777">
        <w:trPr>
          <w:jc w:val="center"/>
        </w:trPr>
        <w:tc>
          <w:tcPr>
            <w:tcW w:w="8409" w:type="dxa"/>
          </w:tcPr>
          <w:p w14:paraId="57960C8E" w14:textId="77777777" w:rsidR="00434D96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50" w:dyaOrig="480" w14:anchorId="411CA5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0" o:title=""/>
                </v:shape>
                <o:OLEObject Type="Embed" ProgID="Equation.3" ShapeID="_x0000_i1025" DrawAspect="Content" ObjectID="_1786876212" r:id="rId11"/>
              </w:object>
            </w:r>
          </w:p>
        </w:tc>
        <w:tc>
          <w:tcPr>
            <w:tcW w:w="435" w:type="dxa"/>
            <w:vAlign w:val="center"/>
          </w:tcPr>
          <w:p w14:paraId="326C7C9A" w14:textId="77777777" w:rsidR="00434D96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7DE8F3A8" w14:textId="77777777" w:rsidR="00434D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6CD8647F" w14:textId="77777777" w:rsidR="00434D96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9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434D96" w14:paraId="79EDE5C4" w14:textId="77777777">
        <w:tc>
          <w:tcPr>
            <w:tcW w:w="4422" w:type="dxa"/>
          </w:tcPr>
          <w:p w14:paraId="44944EB4" w14:textId="77777777" w:rsidR="00434D96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0318797C" wp14:editId="5CF941B8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9C1EE5" w14:textId="77777777" w:rsidR="00434D96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6859DFF3" w14:textId="77777777" w:rsidR="00434D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615B081C" wp14:editId="7C5309F6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16649" w14:textId="77777777" w:rsidR="00434D96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434D96" w14:paraId="7B0D498F" w14:textId="77777777">
        <w:tc>
          <w:tcPr>
            <w:tcW w:w="8844" w:type="dxa"/>
            <w:gridSpan w:val="2"/>
          </w:tcPr>
          <w:p w14:paraId="36949BF2" w14:textId="77777777" w:rsidR="00434D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18B222DF" wp14:editId="04F08C46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7E2F639C" w14:textId="77777777" w:rsidR="00434D96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7CBF6BF" w14:textId="77777777" w:rsidR="00434D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76C5EAB4" w14:textId="77777777" w:rsidR="00434D9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21C9FC1F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5CD9E722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2E84F432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Diagrams with describing words (including, flow chart, coordinate diagram, bar chart, line chart, and scatter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diagram,etc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3D98EAC5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2E7361C8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Symbols, arrows, numbers, or letters used to identify parts of the illustrations must be identified and explained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in the legend; </w:t>
      </w:r>
    </w:p>
    <w:p w14:paraId="1B7B03CF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594DE0FB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</w:p>
    <w:p w14:paraId="1BBCF3A6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</w:p>
    <w:p w14:paraId="3ADBE173" w14:textId="77777777" w:rsidR="00434D96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2064D0D2" w14:textId="77777777" w:rsidR="00434D96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56ABCC2C" w14:textId="77777777" w:rsidR="00434D9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ascii="Times New Roman" w:hAnsi="Times New Roman" w:cs="Times New Roman" w:hint="eastAsia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</w:t>
      </w:r>
      <w:proofErr w:type="gramStart"/>
      <w:r>
        <w:rPr>
          <w:rFonts w:ascii="Times New Roman" w:hAnsi="Times New Roman" w:cs="Times New Roman"/>
          <w:sz w:val="20"/>
          <w:szCs w:val="20"/>
        </w:rPr>
        <w:t>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7C4A38E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6DC343D1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770DA2D5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12CB399" w14:textId="77777777" w:rsidR="00434D9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5" w:history="1">
        <w:r>
          <w:rPr>
            <w:rStyle w:val="ac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0AF2D5EB" w14:textId="77777777" w:rsidR="00434D9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210549FA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62F3B8BC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Effect of occult metastases on survival in node-negative breast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cancer.</w:t>
      </w:r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>N</w:t>
      </w:r>
      <w:proofErr w:type="spellEnd"/>
      <w:proofErr w:type="gramEnd"/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 xml:space="preserve"> Engl J Med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14:paraId="3B02F7FD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7BF069C4" w14:textId="77777777" w:rsidR="00434D96" w:rsidRDefault="0000000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511681A2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67780063" w14:textId="77777777" w:rsidR="00434D96" w:rsidRDefault="0000000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Emberton M, Harving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Sexual dysfunction in 1,274 European men suffering from lower urinary tract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symptoms.</w:t>
      </w:r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>J</w:t>
      </w:r>
      <w:proofErr w:type="spellEnd"/>
      <w:proofErr w:type="gramEnd"/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 xml:space="preserve"> Urol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2003;169:2257-61.[PMID: 12771764 DOI: 10.1097/01.ju.0000067940.76090.73]</w:t>
      </w:r>
    </w:p>
    <w:p w14:paraId="01B3BC52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674C4DE9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Zhang X, Xiong H, Ji TY, Zhang YH, Wang Y. Case report of anti-N-methyl-D-aspartate receptor encephalitis in child.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 J Appl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Clin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Pediatr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2012;27:1903-7. (in Chinese)</w:t>
      </w:r>
    </w:p>
    <w:p w14:paraId="7555BF5B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759B037C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Odibo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AO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Epub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ahead of print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56E1AEF2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2B016058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258-96.</w:t>
      </w:r>
    </w:p>
    <w:p w14:paraId="6ED9CF0E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lastRenderedPageBreak/>
        <w:t>Chapter in a book</w:t>
      </w:r>
    </w:p>
    <w:p w14:paraId="34E94A0B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Meltzer PS, Kallioniemi A, Trent JM. Chromosome alterations in human solid tumors. In: Vogelstein B, Kinzler KW, editors. The genetic basis of human cancer. New York: McGraw-Hill; 2002.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93-113.</w:t>
      </w:r>
    </w:p>
    <w:p w14:paraId="74CA4882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0F4C8C21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6" w:history="1">
        <w:r>
          <w:rPr>
            <w:rStyle w:val="ac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06A88CDB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0B307040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Harnden P, Joffe JK, Jones WG,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editors.Germ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 New York: Springer; 2002.</w:t>
      </w:r>
    </w:p>
    <w:p w14:paraId="5C4EEDB0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5B0159BE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An analysis of Koza’s computational effort statistic for genetic programming. In: Foster JA, Lutton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Genetic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programming.EuroGP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Kinsdale, Ireland. Berlin: Springer; 2002.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182-91.</w:t>
      </w:r>
    </w:p>
    <w:p w14:paraId="5DDCC1F0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908EDF3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Kreitman M. Signature of balancing selection in Arabidopsis.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Proc Natl </w:t>
      </w: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Sci USA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</w:p>
    <w:p w14:paraId="669D7458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4185318E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</w:t>
      </w:r>
      <w:hyperlink r:id="rId17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https://resolver.caltech.edu/CaltechTHESIS:05102010-145436548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2DCAE968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5C6905EF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441582C8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08470E26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World Health Organization Home Page. Available from </w:t>
      </w:r>
      <w:hyperlink r:id="rId18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https://www.who.int/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28F672F7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11A53930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, November 17, 2018, updated November 17, 2018. Available from </w:t>
      </w:r>
      <w:hyperlink r:id="rId19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https://www.pennlive.com/news/2018/11/school_district_sued_over_burn.html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0A8F968C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418F1D80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SpectraBase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Bio-Rad Laboratories. Available from </w:t>
      </w:r>
      <w:hyperlink r:id="rId20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https://spectrabase.com/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2A6B8A86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7AADF40B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Stern MK, Cheng BKM. Process for preparing N-(p-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nitroaryl)amides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via reaction of nitrobenzene with nitriles. US 5380946, 1995.</w:t>
      </w:r>
    </w:p>
    <w:p w14:paraId="7E784121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666787FF" w14:textId="77777777" w:rsidR="00434D9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>Yamamoto TS, Inui R, Tada Y, Yokoyama S. Prospects of detection of subsolar mass primordial black hole and white dwarf binary mergers. </w:t>
      </w:r>
      <w:proofErr w:type="spellStart"/>
      <w:r w:rsidRPr="00B97F13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arXiv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 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2004;arXiv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:2401.00044. Available from </w:t>
      </w:r>
      <w:hyperlink r:id="rId21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https://arxiv.org/abs/2401.00044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2CD928F7" w14:textId="77777777" w:rsidR="00434D96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2" w:history="1">
        <w:r>
          <w:rPr>
            <w:rStyle w:val="ac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220551B7" w14:textId="77777777" w:rsidR="00434D96" w:rsidRDefault="00434D96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</w:pPr>
    </w:p>
    <w:sectPr w:rsidR="00434D9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63B2F" w14:textId="77777777" w:rsidR="00FC1AB1" w:rsidRDefault="00FC1AB1">
      <w:r>
        <w:separator/>
      </w:r>
    </w:p>
  </w:endnote>
  <w:endnote w:type="continuationSeparator" w:id="0">
    <w:p w14:paraId="384ED3B6" w14:textId="77777777" w:rsidR="00FC1AB1" w:rsidRDefault="00FC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D8898" w14:textId="77777777" w:rsidR="00434D96" w:rsidRDefault="00434D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2FC8" w14:textId="77777777" w:rsidR="00434D96" w:rsidRDefault="00434D96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8E467" w14:textId="77777777" w:rsidR="00434D96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31290A3D" wp14:editId="0E7A9972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c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369F09DA" w14:textId="77777777" w:rsidR="00434D96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0E49C026" w14:textId="77777777" w:rsidR="00434D96" w:rsidRDefault="00000000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105D6CFE" wp14:editId="6B2AFB7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c"/>
          <w:rFonts w:ascii="Calibri" w:eastAsia="宋体" w:hAnsi="Calibri" w:cs="Times New Roman"/>
          <w:b/>
          <w:bCs/>
          <w:sz w:val="16"/>
          <w:szCs w:val="16"/>
          <w:lang w:bidi="ar"/>
        </w:rPr>
        <w:t>http://www.oaepublish.com/evcna</w:t>
      </w:r>
    </w:hyperlink>
  </w:p>
  <w:p w14:paraId="3E5D1E03" w14:textId="77777777" w:rsidR="00434D96" w:rsidRDefault="00434D9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255C4" w14:textId="77777777" w:rsidR="00FC1AB1" w:rsidRDefault="00FC1AB1">
      <w:r>
        <w:separator/>
      </w:r>
    </w:p>
  </w:footnote>
  <w:footnote w:type="continuationSeparator" w:id="0">
    <w:p w14:paraId="720264F4" w14:textId="77777777" w:rsidR="00FC1AB1" w:rsidRDefault="00FC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26B9" w14:textId="77777777" w:rsidR="00434D96" w:rsidRDefault="00000000">
    <w:pPr>
      <w:pStyle w:val="a7"/>
      <w:adjustRightInd w:val="0"/>
    </w:pPr>
    <w:proofErr w:type="spellStart"/>
    <w:r>
      <w:rPr>
        <w:rFonts w:ascii="Times New Roman" w:hAnsi="Times New Roman" w:cs="Times New Roman" w:hint="eastAsia"/>
        <w:sz w:val="14"/>
        <w:szCs w:val="14"/>
      </w:rPr>
      <w:t>XX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ascii="Times New Roman" w:hAnsi="Times New Roman" w:cs="Times New Roman"/>
        <w:i/>
        <w:iCs/>
        <w:sz w:val="16"/>
        <w:szCs w:val="16"/>
      </w:rPr>
      <w:t xml:space="preserve">Extracellular Vesicles and Circulating Nucleic </w:t>
    </w:r>
    <w:proofErr w:type="spellStart"/>
    <w:proofErr w:type="gram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ascii="Times New Roman" w:hAnsi="Times New Roman" w:cs="Times New Roman" w:hint="eastAsia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E9AF" w14:textId="77777777" w:rsidR="00434D96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proofErr w:type="gramStart"/>
    <w:r>
      <w:rPr>
        <w:rFonts w:ascii="Times New Roman" w:hAnsi="Times New Roman" w:cs="Times New Roman" w:hint="eastAsia"/>
        <w:sz w:val="14"/>
        <w:szCs w:val="14"/>
      </w:rPr>
      <w:t xml:space="preserve">X  </w:t>
    </w:r>
    <w:proofErr w:type="spellStart"/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proofErr w:type="spellEnd"/>
    <w:proofErr w:type="gram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ascii="Times New Roman" w:hAnsi="Times New Roman" w:cs="Times New Roman"/>
        <w:i/>
        <w:iCs/>
        <w:sz w:val="16"/>
        <w:szCs w:val="16"/>
      </w:rPr>
      <w:t xml:space="preserve">Extracellular Vesicles and Circulating Nucleic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</w:p>
  <w:p w14:paraId="00F1C887" w14:textId="77777777" w:rsidR="00434D96" w:rsidRDefault="00434D96">
    <w:pPr>
      <w:pStyle w:val="a7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25AC6" w14:textId="77777777" w:rsidR="00434D96" w:rsidRDefault="00000000">
    <w:pPr>
      <w:pStyle w:val="a7"/>
    </w:pPr>
    <w:bookmarkStart w:id="2" w:name="OLE_LINK5"/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CD257" wp14:editId="0E6E1BB1">
              <wp:simplePos x="0" y="0"/>
              <wp:positionH relativeFrom="column">
                <wp:posOffset>3676015</wp:posOffset>
              </wp:positionH>
              <wp:positionV relativeFrom="paragraph">
                <wp:posOffset>-121285</wp:posOffset>
              </wp:positionV>
              <wp:extent cx="2419350" cy="48133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481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AFCF1DB" w14:textId="77777777" w:rsidR="00434D96" w:rsidRDefault="00000000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Extracellular Vesicles and Circulating Nucleic Acids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type w14:anchorId="2D8CD25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89.45pt;margin-top:-9.55pt;width:190.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52MjwEAAAgDAAAOAAAAZHJzL2Uyb0RvYy54bWysUk1vGyEQvVfqf0Dca/wRV/bK60hVlFyi&#10;pJLbH4BZ8CIBgwbiXefXZ6CuHTW3qBcYeMybeW/Y3I7esaPGZCG0fDaZcqaDgs6GQ8t//7r/tuIs&#10;ZRk66SDolp904rfbr182Q2z0HHpwnUZGJCE1Q2x5n3NshEiq116mCUQdCDSAXmY64kF0KAdi907M&#10;p9PvYgDsIoLSKdHt3R+Qbyu/MVrlZ2OSzsy1nHrLdcW67ssqthvZHFDG3qpzG/ITXXhpAxW9UN3J&#10;LNkL2g9U3iqEBCZPFHgBxlilqwZSM5v+o2bXy6irFjInxYtN6f/RqqfjLv5ElscfMNIAiyFDTE2i&#10;y6JnNOjLTp0ywsnC08U2PWam6HJ+M1svlgQpwm5Ws8Wi+iqu2RFTftDgWQlajjSW6pY8PqZMFenp&#10;3yelWIB761wdjQtsaPl6OV/WhAtCGS6Ut7oO+Uxz7bxEedyPZzl76E6kkj4qle8BXzmTQVHQ8szZ&#10;S0R76Amp8kXJJbtrW+evUeb5/kzx+w+8fQMAAP//AwBQSwMEFAAGAAgAAAAhAFRKrzDeAAAACgEA&#10;AA8AAABkcnMvZG93bnJldi54bWxMj01PwzAMhu9I/IfISNy2pIhuS2k6IRBXEOND4pY1XlvROFWT&#10;reXfY07saL+PXj8ut7PvxQnH2AUykC0VCKQ6uI4aA+9vT4sNiJgsOdsHQgM/GGFbXV6UtnBholc8&#10;7VIjuIRiYQ20KQ2FlLFu0du4DAMSZ4cwept4HBvpRjtxue/ljVIr6W1HfKG1Az60WH/vjt7Ax/Ph&#10;6/NWvTSPPh+mMCtJXktjrq/m+zsQCef0D8OfPqtDxU77cCQXRW8gX280owYWmc5AMKFzzZs9R6s1&#10;yKqU5y9UvwAAAP//AwBQSwECLQAUAAYACAAAACEAtoM4kv4AAADhAQAAEwAAAAAAAAAAAAAAAAAA&#10;AAAAW0NvbnRlbnRfVHlwZXNdLnhtbFBLAQItABQABgAIAAAAIQA4/SH/1gAAAJQBAAALAAAAAAAA&#10;AAAAAAAAAC8BAABfcmVscy8ucmVsc1BLAQItABQABgAIAAAAIQBhB52MjwEAAAgDAAAOAAAAAAAA&#10;AAAAAAAAAC4CAABkcnMvZTJvRG9jLnhtbFBLAQItABQABgAIAAAAIQBUSq8w3gAAAAoBAAAPAAAA&#10;AAAAAAAAAAAAAOkDAABkcnMvZG93bnJldi54bWxQSwUGAAAAAAQABADzAAAA9AQAAAAA&#10;" filled="f" stroked="f">
              <v:textbox>
                <w:txbxContent>
                  <w:p w14:paraId="6AFCF1DB" w14:textId="77777777" w:rsidR="00434D96" w:rsidRDefault="00000000">
                    <w:pPr>
                      <w:rPr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  <w:t>Extracellular Vesicles and Circulating Nucleic Acids</w:t>
                    </w:r>
                  </w:p>
                </w:txbxContent>
              </v:textbox>
            </v:shape>
          </w:pict>
        </mc:Fallback>
      </mc:AlternateContent>
    </w:r>
    <w:proofErr w:type="spellStart"/>
    <w:r>
      <w:rPr>
        <w:rFonts w:ascii="Times New Roman" w:hAnsi="Times New Roman" w:cs="Times New Roman" w:hint="eastAsia"/>
        <w:sz w:val="16"/>
        <w:szCs w:val="16"/>
      </w:rPr>
      <w:t>XX</w:t>
    </w:r>
    <w:r>
      <w:rPr>
        <w:rFonts w:ascii="Times New Roman" w:hAnsi="Times New Roman" w:cs="Times New Roman" w:hint="eastAsia"/>
        <w:i/>
        <w:iCs/>
        <w:sz w:val="16"/>
        <w:szCs w:val="16"/>
      </w:rPr>
      <w:t>et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al</w:t>
    </w:r>
    <w:r>
      <w:rPr>
        <w:rFonts w:ascii="Times New Roman" w:hAnsi="Times New Roman" w:cs="Times New Roman"/>
        <w:i/>
        <w:iCs/>
        <w:sz w:val="16"/>
        <w:szCs w:val="16"/>
      </w:rPr>
      <w:t xml:space="preserve">. Extracellular Vesicles and Circulating Nucleic </w:t>
    </w:r>
    <w:proofErr w:type="spellStart"/>
    <w:proofErr w:type="gram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ascii="Times New Roman" w:hAnsi="Times New Roman" w:cs="Times New Roman" w:hint="eastAsia"/>
        <w:sz w:val="16"/>
        <w:szCs w:val="16"/>
      </w:rPr>
      <w:t>2574-1209</w:t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630239503">
    <w:abstractNumId w:val="0"/>
  </w:num>
  <w:num w:numId="2" w16cid:durableId="49514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172A27"/>
    <w:rsid w:val="000178BA"/>
    <w:rsid w:val="00025E5D"/>
    <w:rsid w:val="00030B75"/>
    <w:rsid w:val="0003284A"/>
    <w:rsid w:val="00061D5D"/>
    <w:rsid w:val="000D5EBD"/>
    <w:rsid w:val="00137C5C"/>
    <w:rsid w:val="00140831"/>
    <w:rsid w:val="00141405"/>
    <w:rsid w:val="00172A27"/>
    <w:rsid w:val="0019510B"/>
    <w:rsid w:val="0027022E"/>
    <w:rsid w:val="00273491"/>
    <w:rsid w:val="00321491"/>
    <w:rsid w:val="00331E76"/>
    <w:rsid w:val="003608FF"/>
    <w:rsid w:val="003B627D"/>
    <w:rsid w:val="00423880"/>
    <w:rsid w:val="00434D96"/>
    <w:rsid w:val="0045756C"/>
    <w:rsid w:val="00462AD0"/>
    <w:rsid w:val="00497675"/>
    <w:rsid w:val="004F52CE"/>
    <w:rsid w:val="00501A4F"/>
    <w:rsid w:val="00543EE4"/>
    <w:rsid w:val="0054507A"/>
    <w:rsid w:val="005570D9"/>
    <w:rsid w:val="00574B65"/>
    <w:rsid w:val="00587AA0"/>
    <w:rsid w:val="005979DD"/>
    <w:rsid w:val="00637595"/>
    <w:rsid w:val="0071789E"/>
    <w:rsid w:val="007478B3"/>
    <w:rsid w:val="00764018"/>
    <w:rsid w:val="00797427"/>
    <w:rsid w:val="007B08BD"/>
    <w:rsid w:val="007D1FD5"/>
    <w:rsid w:val="008075EB"/>
    <w:rsid w:val="00807F6D"/>
    <w:rsid w:val="00842C21"/>
    <w:rsid w:val="008615FB"/>
    <w:rsid w:val="008960CA"/>
    <w:rsid w:val="008A495C"/>
    <w:rsid w:val="00921419"/>
    <w:rsid w:val="00A00B3E"/>
    <w:rsid w:val="00A37A37"/>
    <w:rsid w:val="00A43990"/>
    <w:rsid w:val="00B42AC5"/>
    <w:rsid w:val="00B74EF5"/>
    <w:rsid w:val="00B97F13"/>
    <w:rsid w:val="00BB3538"/>
    <w:rsid w:val="00BE478F"/>
    <w:rsid w:val="00C46D42"/>
    <w:rsid w:val="00C5076C"/>
    <w:rsid w:val="00C6365E"/>
    <w:rsid w:val="00CA2500"/>
    <w:rsid w:val="00D16246"/>
    <w:rsid w:val="00D21301"/>
    <w:rsid w:val="00DB5DCB"/>
    <w:rsid w:val="00DE47E8"/>
    <w:rsid w:val="00DF5C43"/>
    <w:rsid w:val="00E123F0"/>
    <w:rsid w:val="00E31605"/>
    <w:rsid w:val="00E33D2B"/>
    <w:rsid w:val="00E7011C"/>
    <w:rsid w:val="00EA21CF"/>
    <w:rsid w:val="00ED5272"/>
    <w:rsid w:val="00EE548B"/>
    <w:rsid w:val="00F12A56"/>
    <w:rsid w:val="00F37CB8"/>
    <w:rsid w:val="00F47B65"/>
    <w:rsid w:val="00F66FCD"/>
    <w:rsid w:val="00FA6414"/>
    <w:rsid w:val="00FC0FC4"/>
    <w:rsid w:val="00FC1AB1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0F708D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385368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66DB4"/>
    <w:rsid w:val="28385893"/>
    <w:rsid w:val="28385ED5"/>
    <w:rsid w:val="283F6B60"/>
    <w:rsid w:val="284D66B3"/>
    <w:rsid w:val="285D63C8"/>
    <w:rsid w:val="285F41D7"/>
    <w:rsid w:val="28611FDA"/>
    <w:rsid w:val="28695E6C"/>
    <w:rsid w:val="286B328B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53C92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C6177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2DE9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155B9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27C44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97B64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414DC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0F48D2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20088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C4FAB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1685D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15BD4"/>
  <w15:docId w15:val="{1BAD81F2-7636-47B8-921C-A226DE6F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lin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who.int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arxiv.org/abs/2401.0004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resolver.caltech.edu/CaltechTHESIS:05102010-14543654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fda.gov/NewsEvents/Newsroom/PressAnnouncements/ucm574058.htm" TargetMode="External"/><Relationship Id="rId20" Type="http://schemas.openxmlformats.org/officeDocument/2006/relationships/hyperlink" Target="https://spectrabase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2.bg.am.poznan.pl/czasopisma/medicus.php?lang=eng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.wmf"/><Relationship Id="rId19" Type="http://schemas.openxmlformats.org/officeDocument/2006/relationships/hyperlink" Target="https://www.pennlive.com/news/2018/11/school_district_sued_over_burn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orial@evcna.com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www.nlm.nih.gov/bsd/uniform_requirements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oaepublish.com/evcn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D4-4B01-B911-CDB3A5A216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46D4-4B01-B911-CDB3A5A216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6D4-4B01-B911-CDB3A5A21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6230528"/>
        <c:axId val="199613760"/>
      </c:barChart>
      <c:catAx>
        <c:axId val="40623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9613760"/>
        <c:crosses val="autoZero"/>
        <c:auto val="1"/>
        <c:lblAlgn val="ctr"/>
        <c:lblOffset val="100"/>
        <c:tickLblSkip val="1"/>
        <c:noMultiLvlLbl val="0"/>
      </c:catAx>
      <c:valAx>
        <c:axId val="1996137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623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3</cp:revision>
  <dcterms:created xsi:type="dcterms:W3CDTF">2024-09-02T07:20:00Z</dcterms:created>
  <dcterms:modified xsi:type="dcterms:W3CDTF">2024-09-03T05:44:00Z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96ED07B7E17B408DA08BF676C93A5532_12</vt:lpwstr>
  </property>
</Properties>
</file>