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77069">
      <w:pPr>
        <w:adjustRightInd w:val="0"/>
        <w:snapToGrid w:val="0"/>
        <w:spacing w:line="360" w:lineRule="auto"/>
        <w:jc w:val="left"/>
        <w:rPr>
          <w:rFonts w:ascii="Times New Roman" w:hAnsi="Times New Roman" w:cs="Times New Roman"/>
          <w:b/>
          <w:bCs/>
          <w:sz w:val="24"/>
        </w:rPr>
      </w:pPr>
      <w:r>
        <w:rPr>
          <w:rFonts w:hint="eastAsia" w:ascii="Times New Roman" w:hAnsi="Times New Roman" w:cs="Times New Roman"/>
          <w:b/>
          <w:bCs/>
          <w:sz w:val="24"/>
        </w:rPr>
        <w:t>Technical Note</w:t>
      </w:r>
    </w:p>
    <w:p w14:paraId="774036FF">
      <w:pPr>
        <w:adjustRightInd w:val="0"/>
        <w:snapToGrid w:val="0"/>
        <w:spacing w:line="360" w:lineRule="auto"/>
        <w:jc w:val="left"/>
        <w:rPr>
          <w:rFonts w:ascii="Times New Roman" w:hAnsi="Times New Roman" w:cs="Times New Roman"/>
          <w:b/>
          <w:bCs/>
          <w:sz w:val="24"/>
        </w:rPr>
      </w:pPr>
    </w:p>
    <w:p w14:paraId="758AC015">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66F7D1C0">
      <w:pPr>
        <w:adjustRightInd w:val="0"/>
        <w:snapToGrid w:val="0"/>
        <w:spacing w:line="360" w:lineRule="auto"/>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14:paraId="4C3690C9">
      <w:pPr>
        <w:adjustRightInd w:val="0"/>
        <w:snapToGrid w:val="0"/>
        <w:spacing w:line="360" w:lineRule="auto"/>
        <w:jc w:val="left"/>
        <w:rPr>
          <w:rFonts w:ascii="Times New Roman" w:hAnsi="Times New Roman" w:cs="Times New Roman"/>
          <w:b/>
          <w:bCs/>
          <w:i/>
          <w:iCs/>
          <w:color w:val="808080" w:themeColor="background1" w:themeShade="80"/>
          <w:sz w:val="24"/>
        </w:rPr>
      </w:pPr>
    </w:p>
    <w:p w14:paraId="645D4748">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984944F">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1E3A7DE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4FCF3A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71BA38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A5E7BA4">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14:paraId="55BA227C">
      <w:pPr>
        <w:adjustRightInd w:val="0"/>
        <w:snapToGrid w:val="0"/>
        <w:spacing w:line="360" w:lineRule="auto"/>
        <w:jc w:val="left"/>
        <w:rPr>
          <w:rFonts w:ascii="Times New Roman" w:hAnsi="Times New Roman" w:cs="Times New Roman"/>
          <w:b/>
          <w:bCs/>
          <w:i/>
          <w:iCs/>
          <w:color w:val="3B3838" w:themeColor="background2" w:themeShade="40"/>
          <w:sz w:val="20"/>
          <w:szCs w:val="20"/>
        </w:rPr>
      </w:pPr>
    </w:p>
    <w:p w14:paraId="60C9DC11">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14:paraId="3B0C5D08">
      <w:pPr>
        <w:adjustRightInd w:val="0"/>
        <w:snapToGrid w:val="0"/>
        <w:spacing w:line="360" w:lineRule="auto"/>
        <w:jc w:val="left"/>
        <w:rPr>
          <w:rFonts w:ascii="Times New Roman" w:hAnsi="Times New Roman" w:eastAsia="Times New Roman" w:cs="Times New Roman"/>
          <w:iCs/>
          <w:color w:val="190F13"/>
          <w:sz w:val="24"/>
        </w:rPr>
      </w:pPr>
    </w:p>
    <w:p w14:paraId="6459C21D">
      <w:pPr>
        <w:adjustRightInd w:val="0"/>
        <w:snapToGrid w:val="0"/>
        <w:spacing w:line="360" w:lineRule="auto"/>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6278B3F1">
      <w:pPr>
        <w:adjustRightInd w:val="0"/>
        <w:snapToGrid w:val="0"/>
        <w:spacing w:line="360" w:lineRule="auto"/>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14:paraId="4B9C037C">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1"/>
    <w:p w14:paraId="3B3E8B35">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14:paraId="696F3DF4">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w:t>
      </w:r>
      <w:r>
        <w:rPr>
          <w:rFonts w:hint="eastAsia" w:ascii="Times New Roman" w:hAnsi="Times New Roman" w:cs="Times New Roman"/>
          <w:b/>
          <w:bCs/>
          <w:color w:val="767171" w:themeColor="background2" w:themeShade="80"/>
          <w:sz w:val="20"/>
          <w:szCs w:val="20"/>
        </w:rPr>
        <w:t>Technical Note</w:t>
      </w:r>
      <w:r>
        <w:rPr>
          <w:rFonts w:ascii="Times New Roman" w:hAnsi="Times New Roman" w:cs="Times New Roman"/>
          <w:b/>
          <w:bCs/>
          <w:color w:val="767171" w:themeColor="background2" w:themeShade="80"/>
          <w:sz w:val="20"/>
          <w:szCs w:val="20"/>
        </w:rPr>
        <w:t xml:space="preserve">.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"https://comengsys.com/index.php/comengsys/pages/view/author_instructions" </w:instrText>
      </w:r>
      <w:r>
        <w:fldChar w:fldCharType="separate"/>
      </w:r>
      <w:r>
        <w:rPr>
          <w:rStyle w:val="15"/>
          <w:rFonts w:ascii="Times New Roman" w:hAnsi="Times New Roman" w:cs="Times New Roman"/>
          <w:u w:val="none"/>
        </w:rPr>
        <w:t>Author Instructions</w:t>
      </w:r>
      <w:r>
        <w:rPr>
          <w:rStyle w:val="15"/>
          <w:rFonts w:ascii="Times New Roman" w:hAnsi="Times New Roman" w:cs="Times New Roman"/>
          <w:u w:val="none"/>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"mailto:editorial@comengsys.com" </w:instrText>
      </w:r>
      <w:r>
        <w:fldChar w:fldCharType="separate"/>
      </w:r>
      <w:r>
        <w:rPr>
          <w:rStyle w:val="15"/>
          <w:rFonts w:ascii="Times New Roman" w:hAnsi="Times New Roman" w:cs="Times New Roman"/>
          <w:b/>
          <w:bCs/>
          <w:color w:val="767171" w:themeColor="background2" w:themeShade="80"/>
          <w:sz w:val="20"/>
          <w:szCs w:val="20"/>
          <w:u w:val="none"/>
        </w:rPr>
        <w:t>editorial@comengsys.com</w:t>
      </w:r>
      <w:r>
        <w:rPr>
          <w:rStyle w:val="15"/>
          <w:rFonts w:ascii="Times New Roman" w:hAnsi="Times New Roman" w:cs="Times New Roman"/>
          <w:b/>
          <w:bCs/>
          <w:color w:val="767171" w:themeColor="background2" w:themeShade="80"/>
          <w:sz w:val="20"/>
          <w:szCs w:val="20"/>
          <w:u w:val="none"/>
        </w:rPr>
        <w:fldChar w:fldCharType="end"/>
      </w:r>
    </w:p>
    <w:p w14:paraId="6BA8A157">
      <w:pPr>
        <w:adjustRightInd w:val="0"/>
        <w:snapToGrid w:val="0"/>
        <w:spacing w:line="360" w:lineRule="auto"/>
        <w:jc w:val="left"/>
        <w:rPr>
          <w:rFonts w:ascii="Times New Roman" w:hAnsi="Times New Roman" w:eastAsia="Times New Roman" w:cs="Times New Roman"/>
          <w:iCs/>
          <w:color w:val="808080" w:themeColor="background1" w:themeShade="80"/>
          <w:sz w:val="24"/>
        </w:rPr>
      </w:pPr>
    </w:p>
    <w:p w14:paraId="3F426F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2B9AD4B">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14:paraId="583A0A62">
      <w:pPr>
        <w:adjustRightInd w:val="0"/>
        <w:snapToGrid w:val="0"/>
        <w:spacing w:line="360" w:lineRule="auto"/>
        <w:jc w:val="left"/>
        <w:rPr>
          <w:rFonts w:ascii="Times New Roman" w:hAnsi="Times New Roman" w:eastAsia="宋体" w:cs="Times New Roman"/>
          <w:iCs/>
          <w:sz w:val="24"/>
        </w:rPr>
      </w:pPr>
      <w:bookmarkStart w:id="2" w:name="OLE_LINK87"/>
      <w:bookmarkStart w:id="3" w:name="OLE_LINK3"/>
      <w:r>
        <w:rPr>
          <w:rFonts w:ascii="Times New Roman" w:hAnsi="Times New Roman" w:eastAsia="宋体" w:cs="Times New Roman"/>
          <w:iCs/>
          <w:sz w:val="24"/>
        </w:rPr>
        <w:t>The abstract should state briefly the purpose of the research, the principal results and</w:t>
      </w:r>
    </w:p>
    <w:p w14:paraId="45AD406C">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2"/>
      <w:r>
        <w:rPr>
          <w:rFonts w:hint="eastAsia" w:ascii="Times New Roman" w:hAnsi="Times New Roman" w:eastAsia="宋体" w:cs="Times New Roman"/>
          <w:iCs/>
          <w:sz w:val="24"/>
        </w:rPr>
        <w:t xml:space="preserve"> Unstructured.</w:t>
      </w:r>
    </w:p>
    <w:p w14:paraId="228D3B83">
      <w:pPr>
        <w:adjustRightInd w:val="0"/>
        <w:snapToGrid w:val="0"/>
        <w:spacing w:line="360" w:lineRule="auto"/>
        <w:jc w:val="left"/>
        <w:rPr>
          <w:rFonts w:ascii="Times New Roman" w:hAnsi="Times New Roman" w:cs="Times New Roman"/>
          <w:b/>
          <w:bCs/>
          <w:i/>
          <w:color w:val="808080" w:themeColor="background1" w:themeShade="80"/>
          <w:sz w:val="24"/>
        </w:rPr>
      </w:pPr>
    </w:p>
    <w:p w14:paraId="1F30E6F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4" w:name="_Hlk59626732"/>
      <w:r>
        <w:rPr>
          <w:rFonts w:ascii="Times New Roman" w:hAnsi="Times New Roman" w:cs="Times New Roman"/>
          <w:sz w:val="24"/>
        </w:rPr>
        <w:t>C</w:t>
      </w:r>
      <w:r>
        <w:rPr>
          <w:rFonts w:hint="eastAsia" w:ascii="Times New Roman" w:hAnsi="Times New Roman" w:cs="Times New Roman"/>
          <w:sz w:val="24"/>
        </w:rPr>
        <w:t>omplex</w:t>
      </w:r>
      <w:r>
        <w:rPr>
          <w:rFonts w:ascii="Times New Roman" w:hAnsi="Times New Roman" w:cs="Times New Roman"/>
          <w:sz w:val="24"/>
        </w:rPr>
        <w:t xml:space="preserve">, </w:t>
      </w:r>
      <w:r>
        <w:rPr>
          <w:rFonts w:hint="eastAsia" w:ascii="Times New Roman" w:hAnsi="Times New Roman" w:cs="Times New Roman"/>
          <w:sz w:val="24"/>
        </w:rPr>
        <w:t>engineering</w:t>
      </w:r>
      <w:r>
        <w:rPr>
          <w:rFonts w:ascii="Times New Roman" w:hAnsi="Times New Roman" w:cs="Times New Roman"/>
          <w:sz w:val="24"/>
        </w:rPr>
        <w:t xml:space="preserve">, </w:t>
      </w:r>
      <w:r>
        <w:rPr>
          <w:rFonts w:hint="eastAsia" w:ascii="Times New Roman" w:hAnsi="Times New Roman" w:cs="Times New Roman"/>
          <w:sz w:val="24"/>
        </w:rPr>
        <w:t>systems</w:t>
      </w:r>
      <w:r>
        <w:rPr>
          <w:rFonts w:ascii="Times New Roman" w:hAnsi="Times New Roman" w:cs="Times New Roman"/>
          <w:sz w:val="24"/>
        </w:rPr>
        <w:t xml:space="preserve">, </w:t>
      </w:r>
      <w:bookmarkEnd w:id="4"/>
      <w:r>
        <w:rPr>
          <w:rFonts w:hint="eastAsia" w:ascii="Times New Roman" w:hAnsi="Times New Roman" w:cs="Times New Roman"/>
          <w:sz w:val="24"/>
        </w:rPr>
        <w:t>template</w:t>
      </w:r>
    </w:p>
    <w:p w14:paraId="321A1595">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14:paraId="2DBACC46">
      <w:pPr>
        <w:adjustRightInd w:val="0"/>
        <w:snapToGrid w:val="0"/>
        <w:spacing w:line="360" w:lineRule="auto"/>
        <w:jc w:val="left"/>
        <w:rPr>
          <w:rFonts w:ascii="Times New Roman" w:hAnsi="Times New Roman" w:eastAsia="Times New Roman" w:cs="Times New Roman"/>
          <w:i/>
          <w:color w:val="190F13"/>
          <w:sz w:val="24"/>
        </w:rPr>
      </w:pPr>
    </w:p>
    <w:bookmarkEnd w:id="3"/>
    <w:p w14:paraId="723B566B">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LEVEL ONE HEADING </w:t>
      </w:r>
    </w:p>
    <w:p w14:paraId="696F4187">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14:paraId="6C31BF3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this section, authors should describe the main text of the manuscript in detail. If necessary, we suggest that authors may set headings (level 1 heading, level 2 heading, level 3 heading, etc.) to separate different cases or situations.</w:t>
      </w:r>
    </w:p>
    <w:p w14:paraId="4B81A5C1">
      <w:pPr>
        <w:adjustRightInd w:val="0"/>
        <w:snapToGrid w:val="0"/>
        <w:spacing w:line="360" w:lineRule="auto"/>
        <w:jc w:val="left"/>
        <w:rPr>
          <w:rFonts w:ascii="Times New Roman" w:hAnsi="Times New Roman" w:cs="Times New Roman"/>
          <w:sz w:val="24"/>
        </w:rPr>
      </w:pPr>
    </w:p>
    <w:p w14:paraId="47C0B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1.1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14:paraId="4674091B">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14:paraId="6C8E35E2">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p>
    <w:p w14:paraId="26B62094">
      <w:pPr>
        <w:widowControl/>
        <w:adjustRightInd w:val="0"/>
        <w:snapToGrid w:val="0"/>
        <w:spacing w:line="360" w:lineRule="auto"/>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1.1.1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14:paraId="340CA2CF">
      <w:pPr>
        <w:widowControl/>
        <w:adjustRightInd w:val="0"/>
        <w:snapToGrid w:val="0"/>
        <w:spacing w:line="360" w:lineRule="auto"/>
        <w:jc w:val="left"/>
        <w:rPr>
          <w:rFonts w:ascii="Times New Roman" w:hAnsi="Times New Roman" w:cs="Times New Roman"/>
          <w:b/>
          <w:bCs/>
          <w:color w:val="808080"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14:paraId="63CEBF41">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0D8C1B93">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"https://comengsys.com/files/tpl/comengsys/Template_for_Supplementary_Material_comengsys.docx" </w:instrText>
      </w:r>
      <w:r>
        <w:fldChar w:fldCharType="separate"/>
      </w:r>
      <w:r>
        <w:rPr>
          <w:rStyle w:val="15"/>
          <w:rFonts w:ascii="Times New Roman" w:hAnsi="Times New Roman" w:cs="Times New Roman"/>
          <w:b/>
          <w:bCs/>
          <w:sz w:val="24"/>
          <w:u w:val="none"/>
        </w:rPr>
        <w:t>Supplementary Material Template</w:t>
      </w:r>
      <w:r>
        <w:rPr>
          <w:rStyle w:val="15"/>
          <w:rFonts w:ascii="Times New Roman" w:hAnsi="Times New Roman" w:cs="Times New Roman"/>
          <w:b/>
          <w:bCs/>
          <w:sz w:val="24"/>
          <w:u w:val="none"/>
        </w:rPr>
        <w:fldChar w:fldCharType="end"/>
      </w:r>
      <w:r>
        <w:rPr>
          <w:rFonts w:ascii="Times New Roman" w:hAnsi="Times New Roman" w:cs="Times New Roman"/>
          <w:sz w:val="24"/>
        </w:rPr>
        <w:t>.</w:t>
      </w:r>
    </w:p>
    <w:p w14:paraId="530A8CA6">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14:paraId="56C2A9A0">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14:paraId="04F2397E">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14:paraId="5B944C7F">
      <w:pPr>
        <w:adjustRightInd w:val="0"/>
        <w:snapToGrid w:val="0"/>
        <w:spacing w:line="360" w:lineRule="auto"/>
        <w:jc w:val="left"/>
        <w:rPr>
          <w:rFonts w:ascii="Times New Roman" w:hAnsi="Times New Roman" w:cs="Times New Roman"/>
          <w:b/>
          <w:bCs/>
          <w:i/>
          <w:iCs/>
          <w:color w:val="808080" w:themeColor="background1" w:themeShade="80"/>
          <w:sz w:val="24"/>
        </w:rPr>
      </w:pPr>
    </w:p>
    <w:p w14:paraId="6347870A">
      <w:pPr>
        <w:widowControl/>
        <w:adjustRightInd w:val="0"/>
        <w:snapToGrid w:val="0"/>
        <w:spacing w:line="360" w:lineRule="auto"/>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14:paraId="1CF4ED4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14:paraId="4A1481D8">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14:paraId="0FC614F0">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14:paraId="3D1DEA05">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14:paraId="3FA78973">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14:paraId="1950CD22">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14:paraId="4BDA4859">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14:paraId="1016649D">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14:paraId="461E8C30">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14:paraId="73E8D00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14:paraId="7B3F561E">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14:paraId="47D7A5DF">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14:paraId="37034849">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14:paraId="13F8DE0E">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4D6B8824">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14:paraId="3152AABD">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4B6CF072">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2D5132D0">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14:paraId="1F171089">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2E2095F">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448E64CB">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14:paraId="25BD8D13">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73D9D6C2">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0710CDE9">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14:paraId="2AB819D2">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73C34D46">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14:paraId="26787B48">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771E2E94">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14:paraId="5BEDD129">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4D7DF33A">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14:paraId="4581CC8D">
      <w:pPr>
        <w:widowControl/>
        <w:adjustRightInd w:val="0"/>
        <w:snapToGrid w:val="0"/>
        <w:spacing w:line="360" w:lineRule="auto"/>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14:paraId="1F910AA0">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14:paraId="1A5167F4">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14:paraId="400DCE96">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14:paraId="6CBB2D40">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14:paraId="63C3EB81">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14:paraId="6E2EAC6C">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14:paraId="0F998F0B">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14:paraId="11114A61">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14:paraId="5F5F1340">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14:paraId="5D7257F0">
      <w:pPr>
        <w:numPr>
          <w:ilvl w:val="0"/>
          <w:numId w:val="1"/>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14:paraId="06A47C4A">
      <w:pPr>
        <w:adjustRightInd w:val="0"/>
        <w:snapToGrid w:val="0"/>
        <w:spacing w:line="360" w:lineRule="auto"/>
        <w:jc w:val="left"/>
        <w:rPr>
          <w:rFonts w:ascii="Times New Roman" w:hAnsi="Times New Roman" w:cs="Times New Roman"/>
          <w:b/>
          <w:bCs/>
          <w:i/>
          <w:iCs/>
          <w:color w:val="808080"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53D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F40DE26">
            <w:pPr>
              <w:spacing w:line="360" w:lineRule="auto"/>
              <w:jc w:val="center"/>
              <w:rPr>
                <w:rFonts w:ascii="Times New Roman" w:hAnsi="Times New Roman" w:eastAsia="宋体"/>
                <w:sz w:val="24"/>
              </w:rPr>
            </w:pPr>
            <w:bookmarkStart w:id="5" w:name="OLE_LINK4"/>
            <w:r>
              <w:rPr>
                <w:rFonts w:ascii="Times New Roman" w:hAnsi="Times New Roman" w:eastAsia="宋体"/>
                <w:position w:val="-18"/>
                <w:sz w:val="24"/>
              </w:rPr>
              <w:object>
                <v:shape id="_x0000_i1025" o:spt="75" type="#_x0000_t75" style="height:24pt;width:76.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bookmarkEnd w:id="5"/>
          </w:p>
        </w:tc>
        <w:tc>
          <w:tcPr>
            <w:tcW w:w="435" w:type="dxa"/>
            <w:vAlign w:val="center"/>
          </w:tcPr>
          <w:p w14:paraId="26974BA5">
            <w:pPr>
              <w:spacing w:line="360" w:lineRule="auto"/>
              <w:jc w:val="left"/>
              <w:rPr>
                <w:rFonts w:ascii="Times New Roman" w:hAnsi="Times New Roman"/>
                <w:sz w:val="24"/>
              </w:rPr>
            </w:pPr>
            <w:r>
              <w:rPr>
                <w:rFonts w:ascii="Times New Roman" w:hAnsi="Times New Roman"/>
                <w:sz w:val="24"/>
              </w:rPr>
              <w:t>(1)</w:t>
            </w:r>
          </w:p>
        </w:tc>
      </w:tr>
    </w:tbl>
    <w:p w14:paraId="7EC3A039">
      <w:pPr>
        <w:adjustRightInd w:val="0"/>
        <w:snapToGrid w:val="0"/>
        <w:spacing w:line="360" w:lineRule="auto"/>
        <w:jc w:val="left"/>
        <w:rPr>
          <w:rFonts w:ascii="Times New Roman" w:hAnsi="Times New Roman" w:cs="Times New Roman"/>
          <w:b/>
          <w:bCs/>
          <w:color w:val="767171" w:themeColor="background2" w:themeShade="80"/>
          <w:sz w:val="20"/>
          <w:szCs w:val="20"/>
        </w:rPr>
      </w:pPr>
      <w:bookmarkStart w:id="6" w:name="OLE_LINK21"/>
      <w:r>
        <w:rPr>
          <w:rFonts w:ascii="Times New Roman" w:hAnsi="Times New Roman" w:cs="Times New Roman"/>
          <w:b/>
          <w:bCs/>
          <w:color w:val="767171" w:themeColor="background2" w:themeShade="80"/>
          <w:sz w:val="20"/>
          <w:szCs w:val="20"/>
        </w:rPr>
        <w:t>Equation</w:t>
      </w:r>
      <w:bookmarkEnd w:id="6"/>
      <w:r>
        <w:rPr>
          <w:rFonts w:ascii="Times New Roman" w:hAnsi="Times New Roman" w:cs="Times New Roman"/>
          <w:b/>
          <w:bCs/>
          <w:color w:val="767171" w:themeColor="background2" w:themeShade="80"/>
          <w:sz w:val="20"/>
          <w:szCs w:val="20"/>
        </w:rPr>
        <w:t xml:space="preserve"> note:</w:t>
      </w:r>
    </w:p>
    <w:p w14:paraId="31E6A5F7">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14:paraId="7879C6EC">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6.9pt;width:54.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14:paraId="72D155E6">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14:paraId="63D956A8">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14:paraId="68972B9A">
        <w:tblPrEx>
          <w:tblCellMar>
            <w:top w:w="0" w:type="dxa"/>
            <w:left w:w="108" w:type="dxa"/>
            <w:bottom w:w="0" w:type="dxa"/>
            <w:right w:w="108" w:type="dxa"/>
          </w:tblCellMar>
        </w:tblPrEx>
        <w:tc>
          <w:tcPr>
            <w:tcW w:w="4422" w:type="dxa"/>
            <w:shd w:val="clear" w:color="auto" w:fill="auto"/>
          </w:tcPr>
          <w:p w14:paraId="23DE5FD9">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14:paraId="250FC221">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14:paraId="0B1591C7">
        <w:tblPrEx>
          <w:tblCellMar>
            <w:top w:w="0" w:type="dxa"/>
            <w:left w:w="108" w:type="dxa"/>
            <w:bottom w:w="0" w:type="dxa"/>
            <w:right w:w="108" w:type="dxa"/>
          </w:tblCellMar>
        </w:tblPrEx>
        <w:tc>
          <w:tcPr>
            <w:tcW w:w="8844" w:type="dxa"/>
            <w:gridSpan w:val="2"/>
            <w:shd w:val="clear" w:color="auto" w:fill="auto"/>
          </w:tcPr>
          <w:p w14:paraId="0A7094F5">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14:paraId="1C0F1E99">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14:paraId="558629A0">
      <w:pPr>
        <w:adjustRightInd w:val="0"/>
        <w:snapToGrid w:val="0"/>
        <w:spacing w:line="360" w:lineRule="auto"/>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14:paraId="16F7D105">
      <w:pPr>
        <w:adjustRightInd w:val="0"/>
        <w:snapToGrid w:val="0"/>
        <w:spacing w:line="360" w:lineRule="auto"/>
        <w:jc w:val="left"/>
        <w:rPr>
          <w:rFonts w:ascii="Times New Roman" w:hAnsi="Times New Roman" w:cs="Times New Roman"/>
          <w:sz w:val="24"/>
          <w:vertAlign w:val="superscript"/>
        </w:rPr>
      </w:pPr>
    </w:p>
    <w:p w14:paraId="3C1A63E4">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14:paraId="5B76E8B5">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14:paraId="7BCA618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14:paraId="1E0BBECD">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14:paraId="43A37AA4">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14:paraId="71A4B9F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14:paraId="577E66FC">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14:paraId="2741A4F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14:paraId="1C6191C3">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14:paraId="6621A201">
      <w:pPr>
        <w:numPr>
          <w:ilvl w:val="0"/>
          <w:numId w:val="2"/>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350FB19">
      <w:pPr>
        <w:adjustRightInd w:val="0"/>
        <w:snapToGrid w:val="0"/>
        <w:spacing w:line="360" w:lineRule="auto"/>
        <w:jc w:val="left"/>
        <w:rPr>
          <w:rFonts w:ascii="Times New Roman" w:hAnsi="Times New Roman" w:eastAsia="Times New Roman" w:cs="Times New Roman"/>
          <w:b/>
          <w:bCs/>
          <w:iCs/>
          <w:color w:val="190F13"/>
          <w:sz w:val="24"/>
        </w:rPr>
      </w:pPr>
      <w:bookmarkStart w:id="7" w:name="_Hlk59623292"/>
      <w:bookmarkStart w:id="8" w:name="_Hlk59623241"/>
    </w:p>
    <w:p w14:paraId="44BDB5C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7"/>
    <w:p w14:paraId="3CF3D9B4">
      <w:pPr>
        <w:widowControl/>
        <w:adjustRightInd w:val="0"/>
        <w:snapToGrid w:val="0"/>
        <w:spacing w:line="360" w:lineRule="auto"/>
        <w:jc w:val="left"/>
        <w:rPr>
          <w:rFonts w:ascii="Times New Roman" w:hAnsi="Times New Roman" w:eastAsia="宋体" w:cs="Times New Roman"/>
          <w:b/>
          <w:bCs/>
          <w:iCs/>
          <w:color w:val="000000"/>
          <w:kern w:val="0"/>
          <w:sz w:val="24"/>
        </w:rPr>
      </w:pPr>
      <w:bookmarkStart w:id="9" w:name="_Hlk59623311"/>
      <w:bookmarkStart w:id="10" w:name="OLE_LINK1"/>
      <w:r>
        <w:rPr>
          <w:rFonts w:ascii="Times New Roman" w:hAnsi="Times New Roman" w:eastAsia="宋体" w:cs="Times New Roman"/>
          <w:b/>
          <w:bCs/>
          <w:iCs/>
          <w:color w:val="000000"/>
          <w:kern w:val="0"/>
          <w:sz w:val="24"/>
        </w:rPr>
        <w:t>Acknowledgments</w:t>
      </w:r>
    </w:p>
    <w:p w14:paraId="71F3A7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u w:val="none"/>
        </w:rPr>
        <w:t>the criteria</w:t>
      </w:r>
      <w:r>
        <w:rPr>
          <w:rStyle w:val="15"/>
          <w:rFonts w:ascii="Times New Roman" w:hAnsi="Times New Roman" w:cs="Times New Roman"/>
          <w:b/>
          <w:bCs/>
          <w:sz w:val="24"/>
          <w:u w:val="none"/>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B72B224">
      <w:pPr>
        <w:widowControl/>
        <w:adjustRightInd w:val="0"/>
        <w:snapToGrid w:val="0"/>
        <w:spacing w:line="360" w:lineRule="auto"/>
        <w:jc w:val="left"/>
        <w:rPr>
          <w:rFonts w:ascii="Times New Roman" w:hAnsi="Times New Roman" w:eastAsia="宋体" w:cs="Times New Roman"/>
          <w:b/>
          <w:bCs/>
          <w:iCs/>
          <w:color w:val="000000"/>
          <w:kern w:val="0"/>
          <w:sz w:val="24"/>
        </w:rPr>
      </w:pPr>
    </w:p>
    <w:p w14:paraId="6A28E33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DA1DAD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14:paraId="05567CB3">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1FA90C7">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49113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14:paraId="2CA64DA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14:paraId="02FEAB76">
      <w:pPr>
        <w:widowControl/>
        <w:adjustRightInd w:val="0"/>
        <w:snapToGrid w:val="0"/>
        <w:spacing w:line="360" w:lineRule="auto"/>
        <w:jc w:val="left"/>
        <w:rPr>
          <w:rFonts w:ascii="Times New Roman" w:hAnsi="Times New Roman" w:eastAsia="宋体" w:cs="Times New Roman"/>
          <w:kern w:val="0"/>
          <w:sz w:val="24"/>
        </w:rPr>
      </w:pPr>
    </w:p>
    <w:p w14:paraId="7F0477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696A4F95">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2E7BFA4C">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14:paraId="653DF00D">
      <w:pPr>
        <w:widowControl/>
        <w:adjustRightInd w:val="0"/>
        <w:snapToGrid w:val="0"/>
        <w:spacing w:line="360" w:lineRule="auto"/>
        <w:jc w:val="left"/>
        <w:rPr>
          <w:rFonts w:ascii="Times New Roman" w:hAnsi="Times New Roman" w:cs="Times New Roman"/>
          <w:sz w:val="24"/>
        </w:rPr>
      </w:pPr>
    </w:p>
    <w:p w14:paraId="5C15F9B6">
      <w:pPr>
        <w:widowControl/>
        <w:adjustRightInd w:val="0"/>
        <w:snapToGrid w:val="0"/>
        <w:spacing w:line="360" w:lineRule="auto"/>
        <w:jc w:val="left"/>
        <w:rPr>
          <w:rFonts w:hint="eastAsia"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AI and AI-assisted tools Statement</w:t>
      </w:r>
    </w:p>
    <w:p w14:paraId="26C97622">
      <w:pPr>
        <w:widowControl/>
        <w:adjustRightInd w:val="0"/>
        <w:snapToGrid w:val="0"/>
        <w:spacing w:line="360" w:lineRule="auto"/>
        <w:jc w:val="left"/>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bookmarkStart w:id="23" w:name="_GoBack"/>
      <w:bookmarkEnd w:id="23"/>
    </w:p>
    <w:p w14:paraId="21487986">
      <w:pPr>
        <w:widowControl/>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37235E7B">
      <w:pPr>
        <w:widowControl/>
        <w:adjustRightInd w:val="0"/>
        <w:snapToGrid w:val="0"/>
        <w:spacing w:line="360" w:lineRule="auto"/>
        <w:jc w:val="left"/>
        <w:rPr>
          <w:rFonts w:ascii="Times New Roman" w:hAnsi="Times New Roman" w:cs="Times New Roman"/>
          <w:sz w:val="24"/>
        </w:rPr>
      </w:pPr>
    </w:p>
    <w:p w14:paraId="142F16A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D8444F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6571BE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6D5B10D">
      <w:pPr>
        <w:widowControl/>
        <w:adjustRightInd w:val="0"/>
        <w:snapToGrid w:val="0"/>
        <w:spacing w:line="360" w:lineRule="auto"/>
        <w:jc w:val="left"/>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14:paraId="5EF6148A">
      <w:pPr>
        <w:widowControl/>
        <w:adjustRightInd w:val="0"/>
        <w:snapToGrid w:val="0"/>
        <w:spacing w:line="360" w:lineRule="auto"/>
        <w:jc w:val="left"/>
        <w:rPr>
          <w:rFonts w:ascii="Times New Roman" w:hAnsi="Times New Roman" w:eastAsia="宋体" w:cs="Times New Roman"/>
          <w:kern w:val="0"/>
          <w:sz w:val="24"/>
        </w:rPr>
      </w:pPr>
    </w:p>
    <w:p w14:paraId="217EE3A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F038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14:paraId="69AB3DD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1" w:name="OLE_LINK10"/>
      <w:bookmarkStart w:id="12" w:name="OLE_LINK11"/>
      <w:r>
        <w:rPr>
          <w:rFonts w:ascii="Times New Roman" w:hAnsi="Times New Roman" w:cs="Times New Roman"/>
          <w:sz w:val="24"/>
        </w:rPr>
        <w:t>”</w:t>
      </w:r>
      <w:bookmarkEnd w:id="11"/>
      <w:bookmarkEnd w:id="12"/>
      <w:r>
        <w:rPr>
          <w:rFonts w:ascii="Times New Roman" w:hAnsi="Times New Roman" w:cs="Times New Roman"/>
          <w:sz w:val="24"/>
        </w:rPr>
        <w:t xml:space="preserve">. </w:t>
      </w:r>
    </w:p>
    <w:p w14:paraId="696FBF8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3" w:name="OLE_LINK13"/>
      <w:bookmarkStart w:id="14" w:name="OLE_LINK12"/>
      <w:r>
        <w:rPr>
          <w:rFonts w:ascii="Times New Roman" w:hAnsi="Times New Roman" w:cs="Times New Roman"/>
          <w:sz w:val="24"/>
        </w:rPr>
        <w:t>“</w:t>
      </w:r>
      <w:bookmarkEnd w:id="13"/>
      <w:bookmarkEnd w:id="14"/>
      <w:r>
        <w:rPr>
          <w:rFonts w:ascii="Times New Roman" w:hAnsi="Times New Roman" w:cs="Times New Roman"/>
          <w:sz w:val="24"/>
        </w:rPr>
        <w:t xml:space="preserve">Conflicts of Interest” in the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rPr>
        <w:t>Complex Engineering Systems</w:t>
      </w:r>
      <w:r>
        <w:rPr>
          <w:rFonts w:ascii="Times New Roman" w:hAnsi="Times New Roman" w:cs="Times New Roman"/>
          <w:sz w:val="24"/>
        </w:rPr>
        <w:t xml:space="preserve"> for a full explanation.</w:t>
      </w:r>
    </w:p>
    <w:p w14:paraId="7F13DC95">
      <w:pPr>
        <w:adjustRightInd w:val="0"/>
        <w:snapToGrid w:val="0"/>
        <w:spacing w:line="360" w:lineRule="auto"/>
        <w:jc w:val="left"/>
        <w:rPr>
          <w:rFonts w:ascii="Times New Roman" w:hAnsi="Times New Roman" w:cs="Times New Roman"/>
          <w:sz w:val="24"/>
        </w:rPr>
      </w:pPr>
    </w:p>
    <w:p w14:paraId="38023CF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8E974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u w:val="none"/>
        </w:rPr>
        <w:t>Declaration of Helsinki</w:t>
      </w:r>
      <w:r>
        <w:rPr>
          <w:rStyle w:val="15"/>
          <w:rFonts w:ascii="Times New Roman" w:hAnsi="Times New Roman" w:cs="Times New Roman"/>
          <w:b/>
          <w:bCs/>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w:t>
      </w:r>
      <w:r>
        <w:rPr>
          <w:rFonts w:hint="eastAsia" w:ascii="Times New Roman" w:hAnsi="Times New Roman" w:cs="Times New Roman"/>
          <w:sz w:val="24"/>
        </w:rPr>
        <w:t xml:space="preserve"> </w:t>
      </w:r>
    </w:p>
    <w:p w14:paraId="3F27F34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5" w:name="OLE_LINK17"/>
      <w:bookmarkStart w:id="16" w:name="OLE_LINK16"/>
      <w:r>
        <w:rPr>
          <w:rFonts w:ascii="Times New Roman" w:hAnsi="Times New Roman" w:cs="Times New Roman"/>
          <w:sz w:val="24"/>
        </w:rPr>
        <w:t>“</w:t>
      </w:r>
      <w:bookmarkEnd w:id="15"/>
      <w:bookmarkEnd w:id="16"/>
      <w:r>
        <w:rPr>
          <w:rFonts w:ascii="Times New Roman" w:hAnsi="Times New Roman" w:cs="Times New Roman"/>
          <w:sz w:val="24"/>
        </w:rPr>
        <w:t>Not applicable.” in this section.</w:t>
      </w:r>
    </w:p>
    <w:p w14:paraId="7AAC9FEA">
      <w:pPr>
        <w:adjustRightInd w:val="0"/>
        <w:snapToGrid w:val="0"/>
        <w:spacing w:line="360" w:lineRule="auto"/>
        <w:jc w:val="left"/>
        <w:rPr>
          <w:rFonts w:ascii="Times New Roman" w:hAnsi="Times New Roman" w:cs="Times New Roman"/>
          <w:sz w:val="24"/>
        </w:rPr>
      </w:pPr>
    </w:p>
    <w:p w14:paraId="4B7FCBE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0BDDBA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14:paraId="0EA01F6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2FE1CA26">
      <w:pPr>
        <w:adjustRightInd w:val="0"/>
        <w:snapToGrid w:val="0"/>
        <w:spacing w:line="360" w:lineRule="auto"/>
        <w:jc w:val="left"/>
        <w:rPr>
          <w:rFonts w:ascii="Times New Roman" w:hAnsi="Times New Roman" w:cs="Times New Roman"/>
          <w:sz w:val="24"/>
        </w:rPr>
      </w:pPr>
    </w:p>
    <w:p w14:paraId="0414F2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2A14C8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14:paraId="7101CE97">
      <w:pPr>
        <w:widowControl/>
        <w:adjustRightInd w:val="0"/>
        <w:snapToGrid w:val="0"/>
        <w:spacing w:line="360" w:lineRule="auto"/>
        <w:jc w:val="left"/>
        <w:rPr>
          <w:rFonts w:ascii="Times New Roman" w:hAnsi="Times New Roman" w:eastAsia="宋体" w:cs="Times New Roman"/>
          <w:color w:val="000000"/>
          <w:kern w:val="0"/>
          <w:sz w:val="24"/>
        </w:rPr>
      </w:pPr>
    </w:p>
    <w:bookmarkEnd w:id="8"/>
    <w:bookmarkEnd w:id="9"/>
    <w:p w14:paraId="6D5F5C7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0"/>
    <w:p w14:paraId="7E6C4A13">
      <w:pPr>
        <w:adjustRightInd w:val="0"/>
        <w:snapToGrid w:val="0"/>
        <w:spacing w:line="360" w:lineRule="auto"/>
        <w:jc w:val="left"/>
        <w:rPr>
          <w:rFonts w:ascii="Times New Roman" w:hAnsi="Times New Roman" w:cs="Times New Roman"/>
          <w:sz w:val="24"/>
        </w:rPr>
      </w:pPr>
      <w:bookmarkStart w:id="17"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1B62C84B">
      <w:pPr>
        <w:numPr>
          <w:ilvl w:val="0"/>
          <w:numId w:val="2"/>
        </w:numPr>
        <w:adjustRightInd w:val="0"/>
        <w:snapToGrid w:val="0"/>
        <w:spacing w:line="360" w:lineRule="auto"/>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14:paraId="37AAB5CB">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8" w:name="OLE_LINK22"/>
      <w:r>
        <w:rPr>
          <w:rFonts w:ascii="Times New Roman" w:hAnsi="Times New Roman" w:cs="Times New Roman"/>
          <w:b/>
          <w:bCs/>
          <w:color w:val="767171" w:themeColor="background2" w:themeShade="80"/>
          <w:sz w:val="20"/>
          <w:szCs w:val="20"/>
        </w:rPr>
        <w:t>Each reference should have a corresponding DOI number/website link</w:t>
      </w:r>
      <w:bookmarkEnd w:id="18"/>
      <w:r>
        <w:rPr>
          <w:rFonts w:ascii="Times New Roman" w:hAnsi="Times New Roman" w:cs="Times New Roman"/>
          <w:b/>
          <w:bCs/>
          <w:color w:val="767171" w:themeColor="background2" w:themeShade="80"/>
          <w:sz w:val="20"/>
          <w:szCs w:val="20"/>
        </w:rPr>
        <w:t>;</w:t>
      </w:r>
    </w:p>
    <w:p w14:paraId="2B0D10B4">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14:paraId="2F4688B5">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14:paraId="3FF74DE3">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9"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rPr>
          <w:rStyle w:val="15"/>
          <w:rFonts w:ascii="Times New Roman" w:hAnsi="Times New Roman" w:cs="Times New Roman"/>
        </w:rPr>
        <w:t>https://www.issn.org/services/online-services/access-to-the-ltwa/</w:t>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19"/>
    <w:p w14:paraId="0D73D7E8">
      <w:pPr>
        <w:adjustRightInd w:val="0"/>
        <w:snapToGrid w:val="0"/>
        <w:spacing w:line="360" w:lineRule="auto"/>
        <w:jc w:val="left"/>
        <w:rPr>
          <w:rFonts w:ascii="Times New Roman" w:hAnsi="Times New Roman" w:cs="Times New Roman"/>
          <w:sz w:val="24"/>
        </w:rPr>
      </w:pPr>
    </w:p>
    <w:p w14:paraId="1BA1E38E">
      <w:pPr>
        <w:adjustRightInd w:val="0"/>
        <w:snapToGrid w:val="0"/>
        <w:spacing w:line="360" w:lineRule="auto"/>
        <w:jc w:val="left"/>
        <w:rPr>
          <w:rFonts w:ascii="Times New Roman" w:hAnsi="Times New Roman" w:cs="Times New Roman"/>
          <w:sz w:val="24"/>
        </w:rPr>
      </w:pPr>
      <w:bookmarkStart w:id="20" w:name="OLE_LINK19"/>
      <w:r>
        <w:rPr>
          <w:rFonts w:ascii="Times New Roman" w:hAnsi="Times New Roman" w:cs="Times New Roman"/>
          <w:sz w:val="24"/>
        </w:rPr>
        <w:t>Examples of references are shown below:</w:t>
      </w:r>
      <w:bookmarkEnd w:id="17"/>
      <w:bookmarkEnd w:id="20"/>
    </w:p>
    <w:p w14:paraId="252AFBCA">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Journal articles by individual authors</w:t>
      </w:r>
    </w:p>
    <w:p w14:paraId="7D0A3E1C">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Weaver, D. L.; Ashikaga, T.; Krag, D. N. Effect of occult metastases on survival in node-negative breast cancer. </w:t>
      </w:r>
      <w:r>
        <w:rPr>
          <w:rFonts w:ascii="Times New Roman" w:hAnsi="Times New Roman" w:cs="Times New Roman"/>
          <w:i/>
          <w:iCs/>
          <w:color w:val="000000"/>
          <w:sz w:val="24"/>
          <w:shd w:val="clear" w:color="auto" w:fill="FFFFFF"/>
        </w:rPr>
        <w:t>N. Engl. J. Med.</w:t>
      </w:r>
      <w:r>
        <w:rPr>
          <w:rFonts w:ascii="Times New Roman" w:hAnsi="Times New Roman" w:cs="Times New Roman"/>
          <w:color w:val="000000"/>
          <w:sz w:val="24"/>
          <w:shd w:val="clear" w:color="auto" w:fill="FFFFFF"/>
        </w:rPr>
        <w:t xml:space="preserve"> </w:t>
      </w:r>
      <w:r>
        <w:rPr>
          <w:rFonts w:ascii="Times New Roman" w:hAnsi="Times New Roman" w:cs="Times New Roman"/>
          <w:b/>
          <w:bCs/>
          <w:color w:val="000000"/>
          <w:sz w:val="24"/>
          <w:shd w:val="clear" w:color="auto" w:fill="FFFFFF"/>
        </w:rPr>
        <w:t>2011</w:t>
      </w:r>
      <w:r>
        <w:rPr>
          <w:rFonts w:ascii="Times New Roman" w:hAnsi="Times New Roman" w:cs="Times New Roman"/>
          <w:color w:val="000000"/>
          <w:sz w:val="24"/>
          <w:shd w:val="clear" w:color="auto" w:fill="FFFFFF"/>
        </w:rPr>
        <w:t xml:space="preserve">, </w:t>
      </w:r>
      <w:r>
        <w:rPr>
          <w:rFonts w:ascii="Times New Roman" w:hAnsi="Times New Roman" w:cs="Times New Roman"/>
          <w:i/>
          <w:iCs/>
          <w:color w:val="000000"/>
          <w:sz w:val="24"/>
          <w:shd w:val="clear" w:color="auto" w:fill="FFFFFF"/>
        </w:rPr>
        <w:t>364</w:t>
      </w:r>
      <w:r>
        <w:rPr>
          <w:rFonts w:ascii="Times New Roman" w:hAnsi="Times New Roman" w:cs="Times New Roman"/>
          <w:color w:val="000000"/>
          <w:sz w:val="24"/>
          <w:shd w:val="clear" w:color="auto" w:fill="FFFFFF"/>
        </w:rPr>
        <w:t>, 412-421. DOI: 10.1056/NEJMoa1008108</w:t>
      </w:r>
    </w:p>
    <w:p w14:paraId="0CFDAE30">
      <w:pPr>
        <w:adjustRightInd w:val="0"/>
        <w:snapToGrid w:val="0"/>
        <w:spacing w:line="360" w:lineRule="auto"/>
        <w:jc w:val="left"/>
        <w:rPr>
          <w:rFonts w:ascii="Times New Roman" w:hAnsi="Times New Roman" w:cs="Times New Roman"/>
          <w:color w:val="000000"/>
          <w:sz w:val="24"/>
          <w:shd w:val="clear" w:color="auto" w:fill="FFFFFF"/>
        </w:rPr>
      </w:pPr>
    </w:p>
    <w:p w14:paraId="7B101E35">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Organization as author</w:t>
      </w:r>
    </w:p>
    <w:p w14:paraId="3463CEFE">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Diabetes Prevention Program Research Group. Hypertension, insulin, and proinsulin in participants with impaired glucose tolerance. </w:t>
      </w:r>
      <w:r>
        <w:rPr>
          <w:rFonts w:ascii="Times New Roman" w:hAnsi="Times New Roman" w:cs="Times New Roman"/>
          <w:i/>
          <w:iCs/>
          <w:color w:val="000000"/>
          <w:sz w:val="24"/>
          <w:shd w:val="clear" w:color="auto" w:fill="FFFFFF"/>
        </w:rPr>
        <w:t>Hypertension</w:t>
      </w:r>
      <w:r>
        <w:rPr>
          <w:rFonts w:ascii="Times New Roman" w:hAnsi="Times New Roman" w:cs="Times New Roman"/>
          <w:color w:val="000000"/>
          <w:sz w:val="24"/>
          <w:shd w:val="clear" w:color="auto" w:fill="FFFFFF"/>
        </w:rPr>
        <w:t> </w:t>
      </w:r>
      <w:r>
        <w:rPr>
          <w:rFonts w:ascii="Times New Roman" w:hAnsi="Times New Roman" w:cs="Times New Roman"/>
          <w:b/>
          <w:bCs/>
          <w:color w:val="000000"/>
          <w:sz w:val="24"/>
          <w:shd w:val="clear" w:color="auto" w:fill="FFFFFF"/>
        </w:rPr>
        <w:t>2002</w:t>
      </w:r>
      <w:r>
        <w:rPr>
          <w:rFonts w:ascii="Times New Roman" w:hAnsi="Times New Roman" w:cs="Times New Roman"/>
          <w:color w:val="000000"/>
          <w:sz w:val="24"/>
          <w:shd w:val="clear" w:color="auto" w:fill="FFFFFF"/>
        </w:rPr>
        <w:t xml:space="preserve">, </w:t>
      </w:r>
      <w:r>
        <w:rPr>
          <w:rFonts w:ascii="Times New Roman" w:hAnsi="Times New Roman" w:cs="Times New Roman"/>
          <w:i/>
          <w:iCs/>
          <w:color w:val="000000"/>
          <w:sz w:val="24"/>
          <w:shd w:val="clear" w:color="auto" w:fill="FFFFFF"/>
        </w:rPr>
        <w:t>40</w:t>
      </w:r>
      <w:r>
        <w:rPr>
          <w:rFonts w:ascii="Times New Roman" w:hAnsi="Times New Roman" w:cs="Times New Roman"/>
          <w:color w:val="000000"/>
          <w:sz w:val="24"/>
          <w:shd w:val="clear" w:color="auto" w:fill="FFFFFF"/>
        </w:rPr>
        <w:t>, 679-686. DOI: 10.1161/01.HYP.0000035706.28494.09</w:t>
      </w:r>
    </w:p>
    <w:p w14:paraId="7408A3F0">
      <w:pPr>
        <w:adjustRightInd w:val="0"/>
        <w:snapToGrid w:val="0"/>
        <w:spacing w:line="360" w:lineRule="auto"/>
        <w:jc w:val="left"/>
        <w:rPr>
          <w:rFonts w:ascii="Times New Roman" w:hAnsi="Times New Roman" w:cs="Times New Roman"/>
          <w:color w:val="000000"/>
          <w:sz w:val="24"/>
          <w:shd w:val="clear" w:color="auto" w:fill="FFFFFF"/>
        </w:rPr>
      </w:pPr>
    </w:p>
    <w:p w14:paraId="0A861AD6">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Both personal authors and organization as author</w:t>
      </w:r>
    </w:p>
    <w:p w14:paraId="55C045E7">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Vallancien, G.; Emberton, M.; Harving, N.; van Moorselaar, R. J.; Alf-One Study Group. Sexual dysfunction in 1,274 European men suffering from lower urinary tract symptoms</w:t>
      </w:r>
      <w:r>
        <w:rPr>
          <w:rFonts w:ascii="Times New Roman" w:hAnsi="Times New Roman" w:cs="Times New Roman"/>
          <w:i/>
          <w:iCs/>
          <w:color w:val="000000"/>
          <w:sz w:val="24"/>
          <w:shd w:val="clear" w:color="auto" w:fill="FFFFFF"/>
        </w:rPr>
        <w:t>. J. Urol. </w:t>
      </w:r>
      <w:r>
        <w:rPr>
          <w:rFonts w:ascii="Times New Roman" w:hAnsi="Times New Roman" w:cs="Times New Roman"/>
          <w:b/>
          <w:bCs/>
          <w:color w:val="000000"/>
          <w:sz w:val="24"/>
          <w:shd w:val="clear" w:color="auto" w:fill="FFFFFF"/>
        </w:rPr>
        <w:t>2003</w:t>
      </w:r>
      <w:r>
        <w:rPr>
          <w:rFonts w:ascii="Times New Roman" w:hAnsi="Times New Roman" w:cs="Times New Roman"/>
          <w:color w:val="000000"/>
          <w:sz w:val="24"/>
          <w:shd w:val="clear" w:color="auto" w:fill="FFFFFF"/>
        </w:rPr>
        <w:t xml:space="preserve">, </w:t>
      </w:r>
      <w:r>
        <w:rPr>
          <w:rFonts w:ascii="Times New Roman" w:hAnsi="Times New Roman" w:cs="Times New Roman"/>
          <w:i/>
          <w:iCs/>
          <w:color w:val="000000"/>
          <w:sz w:val="24"/>
          <w:shd w:val="clear" w:color="auto" w:fill="FFFFFF"/>
        </w:rPr>
        <w:t>169</w:t>
      </w:r>
      <w:r>
        <w:rPr>
          <w:rFonts w:ascii="Times New Roman" w:hAnsi="Times New Roman" w:cs="Times New Roman"/>
          <w:color w:val="000000"/>
          <w:sz w:val="24"/>
          <w:shd w:val="clear" w:color="auto" w:fill="FFFFFF"/>
        </w:rPr>
        <w:t>, 2257-2261. DOI: 10.1097/01.ju.0000067940.76090.73</w:t>
      </w:r>
    </w:p>
    <w:p w14:paraId="4C4697AB">
      <w:pPr>
        <w:adjustRightInd w:val="0"/>
        <w:snapToGrid w:val="0"/>
        <w:spacing w:line="360" w:lineRule="auto"/>
        <w:jc w:val="left"/>
        <w:rPr>
          <w:rFonts w:ascii="Times New Roman" w:hAnsi="Times New Roman" w:cs="Times New Roman"/>
          <w:color w:val="000000"/>
          <w:sz w:val="24"/>
          <w:shd w:val="clear" w:color="auto" w:fill="FFFFFF"/>
        </w:rPr>
      </w:pPr>
    </w:p>
    <w:p w14:paraId="4B35526A">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Journal articles not in English</w:t>
      </w:r>
    </w:p>
    <w:p w14:paraId="57A7776F">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Zhang X.; Xiong H.; Ji T. Y.; Zhang Y. H.; Wang Y. Case report of anti-N-methyl-D-aspartate receptor encephalitis in child.</w:t>
      </w:r>
      <w:r>
        <w:rPr>
          <w:rFonts w:ascii="Times New Roman" w:hAnsi="Times New Roman" w:cs="Times New Roman"/>
          <w:i/>
          <w:iCs/>
          <w:color w:val="000000"/>
          <w:sz w:val="24"/>
          <w:shd w:val="clear" w:color="auto" w:fill="FFFFFF"/>
        </w:rPr>
        <w:t xml:space="preserve"> J. Appl. Clin. Pediatr.</w:t>
      </w:r>
      <w:r>
        <w:rPr>
          <w:rFonts w:ascii="Times New Roman" w:hAnsi="Times New Roman" w:cs="Times New Roman"/>
          <w:color w:val="000000"/>
          <w:sz w:val="24"/>
          <w:shd w:val="clear" w:color="auto" w:fill="FFFFFF"/>
        </w:rPr>
        <w:t> </w:t>
      </w:r>
      <w:r>
        <w:rPr>
          <w:rFonts w:ascii="Times New Roman" w:hAnsi="Times New Roman" w:cs="Times New Roman"/>
          <w:b/>
          <w:bCs/>
          <w:color w:val="000000"/>
          <w:sz w:val="24"/>
          <w:shd w:val="clear" w:color="auto" w:fill="FFFFFF"/>
        </w:rPr>
        <w:t>2012</w:t>
      </w:r>
      <w:r>
        <w:rPr>
          <w:rFonts w:ascii="Times New Roman" w:hAnsi="Times New Roman" w:cs="Times New Roman"/>
          <w:color w:val="000000"/>
          <w:sz w:val="24"/>
          <w:shd w:val="clear" w:color="auto" w:fill="FFFFFF"/>
        </w:rPr>
        <w:t xml:space="preserve">, </w:t>
      </w:r>
      <w:r>
        <w:rPr>
          <w:rFonts w:ascii="Times New Roman" w:hAnsi="Times New Roman" w:cs="Times New Roman"/>
          <w:i/>
          <w:iCs/>
          <w:color w:val="000000"/>
          <w:sz w:val="24"/>
          <w:shd w:val="clear" w:color="auto" w:fill="FFFFFF"/>
        </w:rPr>
        <w:t>27</w:t>
      </w:r>
      <w:r>
        <w:rPr>
          <w:rFonts w:ascii="Times New Roman" w:hAnsi="Times New Roman" w:cs="Times New Roman"/>
          <w:color w:val="000000"/>
          <w:sz w:val="24"/>
          <w:shd w:val="clear" w:color="auto" w:fill="FFFFFF"/>
        </w:rPr>
        <w:t>, 1903-1907. (in Chinese)</w:t>
      </w:r>
    </w:p>
    <w:p w14:paraId="4E9DCFBD">
      <w:pPr>
        <w:adjustRightInd w:val="0"/>
        <w:snapToGrid w:val="0"/>
        <w:spacing w:line="360" w:lineRule="auto"/>
        <w:jc w:val="left"/>
        <w:rPr>
          <w:rFonts w:ascii="Times New Roman" w:hAnsi="Times New Roman" w:cs="Times New Roman"/>
          <w:color w:val="000000"/>
          <w:sz w:val="24"/>
          <w:shd w:val="clear" w:color="auto" w:fill="FFFFFF"/>
        </w:rPr>
      </w:pPr>
    </w:p>
    <w:p w14:paraId="17376D83">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Journal articles ahead of print</w:t>
      </w:r>
    </w:p>
    <w:p w14:paraId="44710AFD">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Odibo, A. O. Falling stillbirth and neonatal mortality rates in twin gestation: not a reason for complacency. </w:t>
      </w:r>
      <w:r>
        <w:rPr>
          <w:rFonts w:ascii="Times New Roman" w:hAnsi="Times New Roman" w:cs="Times New Roman"/>
          <w:i/>
          <w:iCs/>
          <w:color w:val="000000"/>
          <w:sz w:val="24"/>
          <w:shd w:val="clear" w:color="auto" w:fill="FFFFFF"/>
        </w:rPr>
        <w:t>BJOG</w:t>
      </w:r>
      <w:r>
        <w:rPr>
          <w:rFonts w:ascii="Times New Roman" w:hAnsi="Times New Roman" w:cs="Times New Roman"/>
          <w:color w:val="000000"/>
          <w:sz w:val="24"/>
          <w:shd w:val="clear" w:color="auto" w:fill="FFFFFF"/>
        </w:rPr>
        <w:t xml:space="preserve">. </w:t>
      </w:r>
      <w:r>
        <w:rPr>
          <w:rFonts w:ascii="Times New Roman" w:hAnsi="Times New Roman" w:cs="Times New Roman"/>
          <w:b/>
          <w:bCs/>
          <w:color w:val="000000"/>
          <w:sz w:val="24"/>
          <w:shd w:val="clear" w:color="auto" w:fill="FFFFFF"/>
        </w:rPr>
        <w:t>2018</w:t>
      </w:r>
      <w:r>
        <w:rPr>
          <w:rFonts w:ascii="Times New Roman" w:hAnsi="Times New Roman" w:cs="Times New Roman"/>
          <w:color w:val="000000"/>
          <w:sz w:val="24"/>
          <w:shd w:val="clear" w:color="auto" w:fill="FFFFFF"/>
        </w:rPr>
        <w:t>, Epub ahead of print [DOI: 10.1111/1471-0528.15541]</w:t>
      </w:r>
    </w:p>
    <w:p w14:paraId="3FBF61EE">
      <w:pPr>
        <w:adjustRightInd w:val="0"/>
        <w:snapToGrid w:val="0"/>
        <w:spacing w:line="360" w:lineRule="auto"/>
        <w:jc w:val="left"/>
        <w:rPr>
          <w:rFonts w:ascii="Times New Roman" w:hAnsi="Times New Roman" w:cs="Times New Roman"/>
          <w:color w:val="000000"/>
          <w:sz w:val="24"/>
          <w:shd w:val="clear" w:color="auto" w:fill="FFFFFF"/>
        </w:rPr>
      </w:pPr>
    </w:p>
    <w:p w14:paraId="2C1CAF05">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ebook</w:t>
      </w:r>
    </w:p>
    <w:p w14:paraId="63731833">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Hammond, C. </w:t>
      </w:r>
      <w:r>
        <w:rPr>
          <w:rFonts w:ascii="Times New Roman" w:hAnsi="Times New Roman" w:cs="Times New Roman"/>
          <w:i/>
          <w:iCs/>
          <w:color w:val="000000"/>
          <w:sz w:val="24"/>
          <w:shd w:val="clear" w:color="auto" w:fill="FFFFFF"/>
        </w:rPr>
        <w:t>The Basics of Crystallography and Diffraction</w:t>
      </w:r>
      <w:r>
        <w:rPr>
          <w:rFonts w:ascii="Times New Roman" w:hAnsi="Times New Roman" w:cs="Times New Roman"/>
          <w:color w:val="000000"/>
          <w:sz w:val="24"/>
          <w:shd w:val="clear" w:color="auto" w:fill="FFFFFF"/>
        </w:rPr>
        <w:t>, 4th ed.; Oxford University Press, 2015. DOI: 10.1093/acprof:oso/9780198738671.001.0001</w:t>
      </w:r>
    </w:p>
    <w:p w14:paraId="51743E02">
      <w:pPr>
        <w:adjustRightInd w:val="0"/>
        <w:snapToGrid w:val="0"/>
        <w:spacing w:line="360" w:lineRule="auto"/>
        <w:jc w:val="left"/>
        <w:rPr>
          <w:rFonts w:ascii="Times New Roman" w:hAnsi="Times New Roman" w:cs="Times New Roman"/>
          <w:color w:val="000000"/>
          <w:sz w:val="24"/>
          <w:shd w:val="clear" w:color="auto" w:fill="FFFFFF"/>
        </w:rPr>
      </w:pPr>
    </w:p>
    <w:p w14:paraId="737BB8A0">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 xml:space="preserve">Book in print </w:t>
      </w:r>
    </w:p>
    <w:p w14:paraId="6C66D386">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Frankel, F. </w:t>
      </w:r>
      <w:r>
        <w:rPr>
          <w:rFonts w:ascii="Times New Roman" w:hAnsi="Times New Roman" w:cs="Times New Roman"/>
          <w:i/>
          <w:iCs/>
          <w:color w:val="000000"/>
          <w:sz w:val="24"/>
          <w:shd w:val="clear" w:color="auto" w:fill="FFFFFF"/>
        </w:rPr>
        <w:t>Picturing Science and Engineering</w:t>
      </w:r>
      <w:r>
        <w:rPr>
          <w:rFonts w:ascii="Times New Roman" w:hAnsi="Times New Roman" w:cs="Times New Roman"/>
          <w:color w:val="000000"/>
          <w:sz w:val="24"/>
          <w:shd w:val="clear" w:color="auto" w:fill="FFFFFF"/>
        </w:rPr>
        <w:t>; MIT Press, 2018.</w:t>
      </w:r>
    </w:p>
    <w:p w14:paraId="3FCDB032">
      <w:pPr>
        <w:adjustRightInd w:val="0"/>
        <w:snapToGrid w:val="0"/>
        <w:spacing w:line="360" w:lineRule="auto"/>
        <w:jc w:val="left"/>
        <w:rPr>
          <w:rFonts w:ascii="Times New Roman" w:hAnsi="Times New Roman" w:cs="Times New Roman"/>
          <w:color w:val="000000"/>
          <w:sz w:val="24"/>
          <w:shd w:val="clear" w:color="auto" w:fill="FFFFFF"/>
        </w:rPr>
      </w:pPr>
    </w:p>
    <w:p w14:paraId="50ED3306">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ebook chapter</w:t>
      </w:r>
    </w:p>
    <w:p w14:paraId="36CB443F">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Hammond, C. Crystal Symmetry. In </w:t>
      </w:r>
      <w:r>
        <w:rPr>
          <w:rFonts w:ascii="Times New Roman" w:hAnsi="Times New Roman" w:cs="Times New Roman"/>
          <w:i/>
          <w:iCs/>
          <w:color w:val="000000"/>
          <w:sz w:val="24"/>
          <w:shd w:val="clear" w:color="auto" w:fill="FFFFFF"/>
        </w:rPr>
        <w:t>The Basics of Crystallography and Diffraction</w:t>
      </w:r>
      <w:r>
        <w:rPr>
          <w:rFonts w:ascii="Times New Roman" w:hAnsi="Times New Roman" w:cs="Times New Roman"/>
          <w:color w:val="000000"/>
          <w:sz w:val="24"/>
          <w:shd w:val="clear" w:color="auto" w:fill="FFFFFF"/>
        </w:rPr>
        <w:t>, 4th ed.; International Union of Crystallography Texts on Crystallography, Vol. 21; Oxford University Press, 2015; pp 99−134. DOI: 10.1093/acprof:oso/9780198738671.003.0004</w:t>
      </w:r>
    </w:p>
    <w:p w14:paraId="2F060146">
      <w:pPr>
        <w:adjustRightInd w:val="0"/>
        <w:snapToGrid w:val="0"/>
        <w:spacing w:line="360" w:lineRule="auto"/>
        <w:jc w:val="left"/>
        <w:rPr>
          <w:rFonts w:ascii="Times New Roman" w:hAnsi="Times New Roman" w:cs="Times New Roman"/>
          <w:color w:val="000000"/>
          <w:sz w:val="24"/>
          <w:shd w:val="clear" w:color="auto" w:fill="FFFFFF"/>
        </w:rPr>
      </w:pPr>
    </w:p>
    <w:p w14:paraId="146BB2D9">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ebook with editors</w:t>
      </w:r>
    </w:p>
    <w:p w14:paraId="02B8EF33">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i/>
          <w:iCs/>
          <w:color w:val="000000"/>
          <w:sz w:val="24"/>
          <w:shd w:val="clear" w:color="auto" w:fill="FFFFFF"/>
        </w:rPr>
        <w:t>Mom the Chemistry Professor: Personal Accounts and Advice from Chemistry Professors Who Are Mothers</w:t>
      </w:r>
      <w:r>
        <w:rPr>
          <w:rFonts w:ascii="Times New Roman" w:hAnsi="Times New Roman" w:cs="Times New Roman"/>
          <w:color w:val="000000"/>
          <w:sz w:val="24"/>
          <w:shd w:val="clear" w:color="auto" w:fill="FFFFFF"/>
        </w:rPr>
        <w:t>, 2nd ed.; Woznack, K., Charlebois, A., Cole, R. S., Marzabadi, C. H., Webster, G., Eds.; Springer, 2018. DOI: 10.1007/978-3-319-78972-9</w:t>
      </w:r>
    </w:p>
    <w:p w14:paraId="0BBD2C21">
      <w:pPr>
        <w:adjustRightInd w:val="0"/>
        <w:snapToGrid w:val="0"/>
        <w:spacing w:line="360" w:lineRule="auto"/>
        <w:jc w:val="left"/>
        <w:rPr>
          <w:rFonts w:ascii="Times New Roman" w:hAnsi="Times New Roman" w:cs="Times New Roman"/>
          <w:color w:val="000000"/>
          <w:sz w:val="24"/>
          <w:shd w:val="clear" w:color="auto" w:fill="FFFFFF"/>
        </w:rPr>
      </w:pPr>
    </w:p>
    <w:p w14:paraId="7352B518">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ebook series</w:t>
      </w:r>
    </w:p>
    <w:p w14:paraId="46FA5903">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Gaede, H. C. Professional Development for REU Students. In </w:t>
      </w:r>
      <w:r>
        <w:rPr>
          <w:rFonts w:ascii="Times New Roman" w:hAnsi="Times New Roman" w:cs="Times New Roman"/>
          <w:i/>
          <w:iCs/>
          <w:color w:val="000000"/>
          <w:sz w:val="24"/>
          <w:shd w:val="clear" w:color="auto" w:fill="FFFFFF"/>
        </w:rPr>
        <w:t>Best Practices for Chemistry REU Programs</w:t>
      </w:r>
      <w:r>
        <w:rPr>
          <w:rFonts w:ascii="Times New Roman" w:hAnsi="Times New Roman" w:cs="Times New Roman"/>
          <w:color w:val="000000"/>
          <w:sz w:val="24"/>
          <w:shd w:val="clear" w:color="auto" w:fill="FFFFFF"/>
        </w:rPr>
        <w:t>; Griep, M. A, Watkins, L., Eds.; ACS Symposium Series, Vol. 1295; American Chemical Society, 2018; pp 33−44. DOI: 10.1021/bk-2018-1295.ch003</w:t>
      </w:r>
    </w:p>
    <w:p w14:paraId="0D35AA06">
      <w:pPr>
        <w:adjustRightInd w:val="0"/>
        <w:snapToGrid w:val="0"/>
        <w:spacing w:line="360" w:lineRule="auto"/>
        <w:jc w:val="left"/>
        <w:rPr>
          <w:rFonts w:ascii="Times New Roman" w:hAnsi="Times New Roman" w:cs="Times New Roman"/>
          <w:color w:val="000000"/>
          <w:sz w:val="24"/>
          <w:shd w:val="clear" w:color="auto" w:fill="FFFFFF"/>
        </w:rPr>
      </w:pPr>
    </w:p>
    <w:p w14:paraId="5EC86B2A">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Thesis or dissertation</w:t>
      </w:r>
    </w:p>
    <w:p w14:paraId="49C412EF">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cs="Times New Roman"/>
          <w:sz w:val="24"/>
          <w:shd w:val="clear" w:color="auto" w:fill="FFFFFF"/>
        </w:rPr>
        <w:t>http://resolver.caltech.edu/CaltechTHESIS:05102010-145436548</w:t>
      </w:r>
      <w:r>
        <w:rPr>
          <w:rStyle w:val="15"/>
          <w:rFonts w:ascii="Times New Roman" w:hAnsi="Times New Roman" w:cs="Times New Roman"/>
          <w:sz w:val="24"/>
          <w:shd w:val="clear" w:color="auto" w:fill="FFFFFF"/>
        </w:rPr>
        <w:fldChar w:fldCharType="end"/>
      </w:r>
      <w:r>
        <w:rPr>
          <w:rFonts w:ascii="Times New Roman" w:hAnsi="Times New Roman" w:cs="Times New Roman"/>
          <w:color w:val="000000"/>
          <w:sz w:val="24"/>
          <w:shd w:val="clear" w:color="auto" w:fill="FFFFFF"/>
        </w:rPr>
        <w:t xml:space="preserve"> (accessed 2019-09-10).</w:t>
      </w:r>
    </w:p>
    <w:p w14:paraId="02172B27">
      <w:pPr>
        <w:adjustRightInd w:val="0"/>
        <w:snapToGrid w:val="0"/>
        <w:spacing w:line="360" w:lineRule="auto"/>
        <w:jc w:val="left"/>
        <w:rPr>
          <w:rFonts w:ascii="Times New Roman" w:hAnsi="Times New Roman" w:cs="Times New Roman"/>
          <w:color w:val="000000"/>
          <w:sz w:val="24"/>
          <w:shd w:val="clear" w:color="auto" w:fill="FFFFFF"/>
        </w:rPr>
      </w:pPr>
    </w:p>
    <w:p w14:paraId="4DDF1FDB">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Thesis or dissertation in print</w:t>
      </w:r>
    </w:p>
    <w:p w14:paraId="03D5E03E">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Enander, R. T. Lead particulate and methylene chloride risks in automotive refinishing. Ph.D. Thesis, Tufts University, Medford, MA, 2001.</w:t>
      </w:r>
    </w:p>
    <w:p w14:paraId="3F08602C">
      <w:pPr>
        <w:adjustRightInd w:val="0"/>
        <w:snapToGrid w:val="0"/>
        <w:spacing w:line="360" w:lineRule="auto"/>
        <w:jc w:val="left"/>
        <w:rPr>
          <w:rFonts w:ascii="Times New Roman" w:hAnsi="Times New Roman" w:cs="Times New Roman"/>
          <w:color w:val="000000"/>
          <w:sz w:val="24"/>
          <w:shd w:val="clear" w:color="auto" w:fill="FFFFFF"/>
        </w:rPr>
      </w:pPr>
    </w:p>
    <w:p w14:paraId="3F5E53EC">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Website</w:t>
      </w:r>
    </w:p>
    <w:p w14:paraId="20C659B5">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i/>
          <w:iCs/>
          <w:color w:val="000000"/>
          <w:sz w:val="24"/>
          <w:shd w:val="clear" w:color="auto" w:fill="FFFFFF"/>
        </w:rPr>
        <w:t>World Health Organization Home Page</w:t>
      </w:r>
      <w:r>
        <w:rPr>
          <w:rFonts w:ascii="Times New Roman" w:hAnsi="Times New Roman" w:cs="Times New Roman"/>
          <w:color w:val="000000"/>
          <w:sz w:val="24"/>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cs="Times New Roman"/>
          <w:sz w:val="24"/>
          <w:shd w:val="clear" w:color="auto" w:fill="FFFFFF"/>
        </w:rPr>
        <w:t>https://www.who.int/</w:t>
      </w:r>
      <w:r>
        <w:rPr>
          <w:rStyle w:val="15"/>
          <w:rFonts w:ascii="Times New Roman" w:hAnsi="Times New Roman" w:cs="Times New Roman"/>
          <w:sz w:val="24"/>
          <w:shd w:val="clear" w:color="auto" w:fill="FFFFFF"/>
        </w:rPr>
        <w:fldChar w:fldCharType="end"/>
      </w:r>
      <w:r>
        <w:rPr>
          <w:rFonts w:ascii="Times New Roman" w:hAnsi="Times New Roman" w:cs="Times New Roman"/>
          <w:color w:val="000000"/>
          <w:sz w:val="24"/>
          <w:shd w:val="clear" w:color="auto" w:fill="FFFFFF"/>
        </w:rPr>
        <w:t xml:space="preserve"> (accessed 2019-02-21).</w:t>
      </w:r>
    </w:p>
    <w:p w14:paraId="746C277A">
      <w:pPr>
        <w:adjustRightInd w:val="0"/>
        <w:snapToGrid w:val="0"/>
        <w:spacing w:line="360" w:lineRule="auto"/>
        <w:jc w:val="left"/>
        <w:rPr>
          <w:rFonts w:ascii="Times New Roman" w:hAnsi="Times New Roman" w:cs="Times New Roman"/>
          <w:color w:val="000000"/>
          <w:sz w:val="24"/>
          <w:shd w:val="clear" w:color="auto" w:fill="FFFFFF"/>
        </w:rPr>
      </w:pPr>
    </w:p>
    <w:p w14:paraId="74337265">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Newspaper</w:t>
      </w:r>
    </w:p>
    <w:p w14:paraId="74B88F4A">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Beauge, J. School district sued over burns girl suffered during chemistry class demonstration. </w:t>
      </w:r>
      <w:r>
        <w:rPr>
          <w:rFonts w:ascii="Times New Roman" w:hAnsi="Times New Roman" w:cs="Times New Roman"/>
          <w:i/>
          <w:iCs/>
          <w:color w:val="000000"/>
          <w:sz w:val="24"/>
          <w:shd w:val="clear" w:color="auto" w:fill="FFFFFF"/>
        </w:rPr>
        <w:t>PennLive (Harrisburg, PA)</w:t>
      </w:r>
      <w:r>
        <w:rPr>
          <w:rFonts w:ascii="Times New Roman" w:hAnsi="Times New Roman" w:cs="Times New Roman"/>
          <w:color w:val="000000"/>
          <w:sz w:val="24"/>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cs="Times New Roman"/>
          <w:sz w:val="24"/>
          <w:shd w:val="clear" w:color="auto" w:fill="FFFFFF"/>
        </w:rPr>
        <w:t>https://www.pennlive.com/news/2018/11/school_district_sued_over_burn.html</w:t>
      </w:r>
      <w:r>
        <w:rPr>
          <w:rStyle w:val="15"/>
          <w:rFonts w:ascii="Times New Roman" w:hAnsi="Times New Roman" w:cs="Times New Roman"/>
          <w:sz w:val="24"/>
          <w:shd w:val="clear" w:color="auto" w:fill="FFFFFF"/>
        </w:rPr>
        <w:fldChar w:fldCharType="end"/>
      </w:r>
      <w:r>
        <w:rPr>
          <w:rFonts w:ascii="Times New Roman" w:hAnsi="Times New Roman" w:cs="Times New Roman"/>
          <w:color w:val="000000"/>
          <w:sz w:val="24"/>
          <w:shd w:val="clear" w:color="auto" w:fill="FFFFFF"/>
        </w:rPr>
        <w:t xml:space="preserve"> (accessed 2019-02-22).</w:t>
      </w:r>
    </w:p>
    <w:p w14:paraId="675DFACC">
      <w:pPr>
        <w:adjustRightInd w:val="0"/>
        <w:snapToGrid w:val="0"/>
        <w:spacing w:line="360" w:lineRule="auto"/>
        <w:jc w:val="left"/>
        <w:rPr>
          <w:rFonts w:ascii="Times New Roman" w:hAnsi="Times New Roman" w:cs="Times New Roman"/>
          <w:color w:val="000000"/>
          <w:sz w:val="24"/>
          <w:shd w:val="clear" w:color="auto" w:fill="FFFFFF"/>
        </w:rPr>
      </w:pPr>
    </w:p>
    <w:p w14:paraId="1B6B5A20">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Conference abstract</w:t>
      </w:r>
    </w:p>
    <w:p w14:paraId="006D3454">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Okita, J.; Iwamoto, T.; Kira, M. Novel synthetic route for hydrosilyllithiums. In </w:t>
      </w:r>
      <w:r>
        <w:rPr>
          <w:rFonts w:ascii="Times New Roman" w:hAnsi="Times New Roman" w:cs="Times New Roman"/>
          <w:i/>
          <w:iCs/>
          <w:color w:val="000000"/>
          <w:sz w:val="24"/>
          <w:shd w:val="clear" w:color="auto" w:fill="FFFFFF"/>
        </w:rPr>
        <w:t>Book of Abstracts, 2000 International Chemical Congress of Pacific Basin Societies (PACIFICHEM 2000)</w:t>
      </w:r>
      <w:r>
        <w:rPr>
          <w:rFonts w:ascii="Times New Roman" w:hAnsi="Times New Roman" w:cs="Times New Roman"/>
          <w:color w:val="000000"/>
          <w:sz w:val="24"/>
          <w:shd w:val="clear" w:color="auto" w:fill="FFFFFF"/>
        </w:rPr>
        <w:t>, Honolulu, HI; Paper INOR 216.</w:t>
      </w:r>
    </w:p>
    <w:p w14:paraId="787D1E8E">
      <w:pPr>
        <w:adjustRightInd w:val="0"/>
        <w:snapToGrid w:val="0"/>
        <w:spacing w:line="360" w:lineRule="auto"/>
        <w:jc w:val="left"/>
        <w:rPr>
          <w:rFonts w:ascii="Times New Roman" w:hAnsi="Times New Roman" w:cs="Times New Roman"/>
          <w:color w:val="000000"/>
          <w:sz w:val="24"/>
          <w:shd w:val="clear" w:color="auto" w:fill="FFFFFF"/>
        </w:rPr>
      </w:pPr>
    </w:p>
    <w:p w14:paraId="730A1596">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Conference proceedings</w:t>
      </w:r>
    </w:p>
    <w:p w14:paraId="64EB055D">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Nilsson, A.; Petersson, F.; Persson, H. W.; Jönsson, H.; Laurell, T. Manipulation of suspended particles in a laminar flow. In </w:t>
      </w:r>
      <w:r>
        <w:rPr>
          <w:rFonts w:ascii="Times New Roman" w:hAnsi="Times New Roman" w:cs="Times New Roman"/>
          <w:i/>
          <w:iCs/>
          <w:color w:val="000000"/>
          <w:sz w:val="24"/>
          <w:shd w:val="clear" w:color="auto" w:fill="FFFFFF"/>
        </w:rPr>
        <w:t>Micro Total Analysis Systems 2002, Proceedings of the μTAS 2002 Symposium</w:t>
      </w:r>
      <w:r>
        <w:rPr>
          <w:rFonts w:ascii="Times New Roman"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2739B3F4">
      <w:pPr>
        <w:adjustRightInd w:val="0"/>
        <w:snapToGrid w:val="0"/>
        <w:spacing w:line="360" w:lineRule="auto"/>
        <w:jc w:val="left"/>
        <w:rPr>
          <w:rFonts w:ascii="Times New Roman" w:hAnsi="Times New Roman" w:cs="Times New Roman"/>
          <w:color w:val="000000"/>
          <w:sz w:val="24"/>
          <w:shd w:val="clear" w:color="auto" w:fill="FFFFFF"/>
        </w:rPr>
      </w:pPr>
    </w:p>
    <w:p w14:paraId="6BB95215">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Database</w:t>
      </w:r>
    </w:p>
    <w:p w14:paraId="3F8EE38B">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i/>
          <w:iCs/>
          <w:color w:val="000000"/>
          <w:sz w:val="24"/>
          <w:shd w:val="clear" w:color="auto" w:fill="FFFFFF"/>
        </w:rPr>
        <w:t>SpectraBase</w:t>
      </w:r>
      <w:r>
        <w:rPr>
          <w:rFonts w:ascii="Times New Roman" w:hAnsi="Times New Roman" w:cs="Times New Roman"/>
          <w:color w:val="000000"/>
          <w:sz w:val="24"/>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cs="Times New Roman"/>
          <w:sz w:val="24"/>
          <w:shd w:val="clear" w:color="auto" w:fill="FFFFFF"/>
        </w:rPr>
        <w:t>https://spectrabase.com/</w:t>
      </w:r>
      <w:r>
        <w:rPr>
          <w:rStyle w:val="15"/>
          <w:rFonts w:ascii="Times New Roman" w:hAnsi="Times New Roman" w:cs="Times New Roman"/>
          <w:sz w:val="24"/>
          <w:shd w:val="clear" w:color="auto" w:fill="FFFFFF"/>
        </w:rPr>
        <w:fldChar w:fldCharType="end"/>
      </w:r>
      <w:r>
        <w:rPr>
          <w:rFonts w:ascii="Times New Roman" w:hAnsi="Times New Roman" w:cs="Times New Roman"/>
          <w:color w:val="000000"/>
          <w:sz w:val="24"/>
          <w:shd w:val="clear" w:color="auto" w:fill="FFFFFF"/>
        </w:rPr>
        <w:t xml:space="preserve"> (accessed 2020-01-05).</w:t>
      </w:r>
    </w:p>
    <w:p w14:paraId="67BC2555">
      <w:pPr>
        <w:adjustRightInd w:val="0"/>
        <w:snapToGrid w:val="0"/>
        <w:spacing w:line="360" w:lineRule="auto"/>
        <w:jc w:val="left"/>
        <w:rPr>
          <w:rFonts w:ascii="Times New Roman" w:hAnsi="Times New Roman" w:cs="Times New Roman"/>
          <w:color w:val="000000"/>
          <w:sz w:val="24"/>
          <w:shd w:val="clear" w:color="auto" w:fill="FFFFFF"/>
        </w:rPr>
      </w:pPr>
    </w:p>
    <w:p w14:paraId="37F125EA">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Patent</w:t>
      </w:r>
    </w:p>
    <w:p w14:paraId="39485B66">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Stern, M. K.; Cheng, B. K. M. Process for preparing N-(p-nitroaryl)amides via reaction of nitrobenzene with nitriles. US 5380946, 1995.</w:t>
      </w:r>
    </w:p>
    <w:p w14:paraId="27E72648">
      <w:pPr>
        <w:adjustRightInd w:val="0"/>
        <w:snapToGrid w:val="0"/>
        <w:spacing w:line="360" w:lineRule="auto"/>
        <w:jc w:val="left"/>
        <w:rPr>
          <w:rFonts w:ascii="Times New Roman" w:hAnsi="Times New Roman" w:cs="Times New Roman"/>
          <w:color w:val="000000"/>
          <w:sz w:val="24"/>
          <w:shd w:val="clear" w:color="auto" w:fill="FFFFFF"/>
        </w:rPr>
      </w:pPr>
    </w:p>
    <w:p w14:paraId="69B463E8">
      <w:pPr>
        <w:adjustRightInd w:val="0"/>
        <w:snapToGrid w:val="0"/>
        <w:spacing w:line="360" w:lineRule="auto"/>
        <w:jc w:val="left"/>
        <w:rPr>
          <w:rFonts w:ascii="Times New Roman" w:hAnsi="Times New Roman" w:cs="Times New Roman"/>
          <w:b/>
          <w:bCs/>
          <w:color w:val="000000"/>
          <w:sz w:val="24"/>
          <w:shd w:val="clear" w:color="auto" w:fill="FFFFFF"/>
        </w:rPr>
      </w:pPr>
      <w:r>
        <w:rPr>
          <w:rFonts w:ascii="Times New Roman" w:hAnsi="Times New Roman" w:cs="Times New Roman"/>
          <w:b/>
          <w:bCs/>
          <w:color w:val="000000"/>
          <w:sz w:val="24"/>
          <w:shd w:val="clear" w:color="auto" w:fill="FFFFFF"/>
        </w:rPr>
        <w:t>Preprint</w:t>
      </w:r>
    </w:p>
    <w:p w14:paraId="14EE3BB5">
      <w:pPr>
        <w:adjustRightInd w:val="0"/>
        <w:snapToGrid w:val="0"/>
        <w:spacing w:line="360" w:lineRule="auto"/>
        <w:jc w:val="left"/>
        <w:rPr>
          <w:rFonts w:hint="eastAsia"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Yamamoto T. S.; Inui R.; Tada Y.; Yokoyama S. Prospects of detection of subsolar mass primordial black hole and white dwarf binary mergers. </w:t>
      </w:r>
      <w:r>
        <w:rPr>
          <w:rFonts w:ascii="Times New Roman" w:hAnsi="Times New Roman" w:cs="Times New Roman"/>
          <w:i/>
          <w:iCs/>
          <w:color w:val="000000"/>
          <w:sz w:val="24"/>
          <w:shd w:val="clear" w:color="auto" w:fill="FFFFFF"/>
        </w:rPr>
        <w:t>arXiv</w:t>
      </w:r>
      <w:r>
        <w:rPr>
          <w:rFonts w:ascii="Times New Roman" w:hAnsi="Times New Roman" w:cs="Times New Roman"/>
          <w:color w:val="000000"/>
          <w:sz w:val="24"/>
          <w:shd w:val="clear" w:color="auto" w:fill="FFFFFF"/>
        </w:rPr>
        <w:t> </w:t>
      </w:r>
      <w:r>
        <w:rPr>
          <w:rFonts w:ascii="Times New Roman" w:hAnsi="Times New Roman" w:cs="Times New Roman"/>
          <w:b/>
          <w:bCs/>
          <w:color w:val="000000"/>
          <w:sz w:val="24"/>
          <w:shd w:val="clear" w:color="auto" w:fill="FFFFFF"/>
        </w:rPr>
        <w:t>2004</w:t>
      </w:r>
      <w:r>
        <w:rPr>
          <w:rFonts w:ascii="Times New Roman" w:hAnsi="Times New Roman" w:cs="Times New Roman"/>
          <w:color w:val="000000"/>
          <w:sz w:val="24"/>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cs="Times New Roman"/>
          <w:sz w:val="24"/>
          <w:shd w:val="clear" w:color="auto" w:fill="FFFFFF"/>
        </w:rPr>
        <w:t>https://arxiv.org/abs/2401.00044</w:t>
      </w:r>
      <w:r>
        <w:rPr>
          <w:rStyle w:val="15"/>
          <w:rFonts w:ascii="Times New Roman" w:hAnsi="Times New Roman" w:cs="Times New Roman"/>
          <w:sz w:val="24"/>
          <w:shd w:val="clear" w:color="auto" w:fill="FFFFFF"/>
        </w:rPr>
        <w:fldChar w:fldCharType="end"/>
      </w:r>
      <w:r>
        <w:rPr>
          <w:rFonts w:ascii="Times New Roman" w:hAnsi="Times New Roman" w:cs="Times New Roman"/>
          <w:color w:val="000000"/>
          <w:sz w:val="24"/>
          <w:shd w:val="clear" w:color="auto" w:fill="FFFFFF"/>
        </w:rPr>
        <w:t xml:space="preserve"> (accessed 29 December 2023).</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663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E4E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E970F8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43C3139">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C:\Users\风轻月白\Desktop\OAE-LOGO.jpg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风轻月白\Desktop\OAE-LOGO.jpgOAE-LOGO"/>
                  <pic:cNvPicPr>
                    <a:picLocks noChangeAspect="1"/>
                  </pic:cNvPicPr>
                </pic:nvPicPr>
                <pic:blipFill>
                  <a:blip r:embed="rId2">
                    <a:clrChange>
                      <a:clrFrom>
                        <a:srgbClr val="FFFFFF">
                          <a:alpha val="100000"/>
                        </a:srgbClr>
                      </a:clrFrom>
                      <a:clrTo>
                        <a:srgbClr val="FFFFFF">
                          <a:alpha val="100000"/>
                          <a:alpha val="0"/>
                        </a:srgbClr>
                      </a:clrTo>
                    </a:clrChange>
                  </a:blip>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"http://www.comengsys.com"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comengsys</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1439169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C11D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CFEF">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79DBE">
    <w:pPr>
      <w:pStyle w:val="6"/>
      <w:tabs>
        <w:tab w:val="left" w:pos="7565"/>
        <w:tab w:val="clear" w:pos="4153"/>
        <w:tab w:val="clear" w:pos="8306"/>
      </w:tabs>
    </w:pPr>
    <w:bookmarkStart w:id="21"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2967355</wp:posOffset>
              </wp:positionH>
              <wp:positionV relativeFrom="paragraph">
                <wp:posOffset>-123825</wp:posOffset>
              </wp:positionV>
              <wp:extent cx="2426335" cy="6038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603885"/>
                      </a:xfrm>
                      <a:prstGeom prst="rect">
                        <a:avLst/>
                      </a:prstGeom>
                      <a:solidFill>
                        <a:srgbClr val="FFFFFF">
                          <a:alpha val="0"/>
                        </a:srgbClr>
                      </a:solidFill>
                      <a:ln>
                        <a:noFill/>
                      </a:ln>
                    </wps:spPr>
                    <wps:txbx>
                      <w:txbxContent>
                        <w:p w14:paraId="790A9522">
                          <w:pPr>
                            <w:wordWrap w:val="0"/>
                            <w:jc w:val="right"/>
                            <w:rPr>
                              <w:rFonts w:ascii="Arial" w:hAnsi="Arial"/>
                              <w:b/>
                              <w:color w:val="1E4B92"/>
                              <w:sz w:val="30"/>
                              <w:szCs w:val="30"/>
                            </w:rPr>
                          </w:pPr>
                          <w:r>
                            <w:rPr>
                              <w:rFonts w:hint="eastAsia" w:ascii="Arial" w:hAnsi="Arial"/>
                              <w:b/>
                              <w:color w:val="1E4B92"/>
                              <w:sz w:val="30"/>
                              <w:szCs w:val="30"/>
                            </w:rPr>
                            <w:t>Complex Engineering</w:t>
                          </w:r>
                        </w:p>
                        <w:p w14:paraId="26082B8B">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227B467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3.65pt;margin-top:-9.75pt;height:47.55pt;width:191.05pt;z-index:251662336;mso-width-relative:page;mso-height-relative:page;" fillcolor="#FFFFFF" filled="t" stroked="f" coordsize="21600,21600" o:gfxdata="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W8kSDaAAAACgEAAA8AAAAAAAAAAQAgAAAAIgAAAGRycy9kb3du&#10;cmV2LnhtbFBLAQIUABQAAAAIAIdO4kAUZASjNgIAAFsEAAAOAAAAAAAAAAEAIAAAACkBAABkcnMv&#10;ZTJvRG9jLnhtbFBLBQYAAAAABgAGAFkBAADRBQAAAAA=&#10;">
              <v:fill on="t" opacity="0f" focussize="0,0"/>
              <v:stroke on="f"/>
              <v:imagedata o:title=""/>
              <o:lock v:ext="edit" aspectratio="f"/>
              <v:textbox>
                <w:txbxContent>
                  <w:p w14:paraId="790A9522">
                    <w:pPr>
                      <w:wordWrap w:val="0"/>
                      <w:jc w:val="right"/>
                      <w:rPr>
                        <w:rFonts w:ascii="Arial" w:hAnsi="Arial"/>
                        <w:b/>
                        <w:color w:val="1E4B92"/>
                        <w:sz w:val="30"/>
                        <w:szCs w:val="30"/>
                      </w:rPr>
                    </w:pPr>
                    <w:r>
                      <w:rPr>
                        <w:rFonts w:hint="eastAsia" w:ascii="Arial" w:hAnsi="Arial"/>
                        <w:b/>
                        <w:color w:val="1E4B92"/>
                        <w:sz w:val="30"/>
                        <w:szCs w:val="30"/>
                      </w:rPr>
                      <w:t>Complex Engineering</w:t>
                    </w:r>
                  </w:p>
                  <w:p w14:paraId="26082B8B">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227B4672"/>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Complex Eng Syst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1"/>
    <w:r>
      <w:rPr>
        <w:rFonts w:ascii="Times New Roman" w:hAnsi="Times New Roman" w:cs="Times New Roman"/>
        <w:b/>
        <w:bCs/>
        <w:sz w:val="16"/>
        <w:szCs w:val="16"/>
      </w:rPr>
      <w:t>DOI</w:t>
    </w:r>
    <w:r>
      <w:rPr>
        <w:rFonts w:ascii="Times New Roman" w:hAnsi="Times New Roman" w:cs="Times New Roman"/>
        <w:sz w:val="16"/>
        <w:szCs w:val="16"/>
      </w:rPr>
      <w:t>: 10.20517/</w:t>
    </w:r>
    <w:bookmarkStart w:id="22" w:name="OLE_LINK8"/>
    <w:r>
      <w:rPr>
        <w:rFonts w:hint="eastAsia" w:ascii="Times New Roman" w:hAnsi="Times New Roman" w:cs="Times New Roman"/>
        <w:sz w:val="16"/>
        <w:szCs w:val="16"/>
      </w:rPr>
      <w:t>ces</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13D80"/>
    <w:rsid w:val="000178BA"/>
    <w:rsid w:val="00030B75"/>
    <w:rsid w:val="0003284A"/>
    <w:rsid w:val="00061947"/>
    <w:rsid w:val="00087FB4"/>
    <w:rsid w:val="000C63DB"/>
    <w:rsid w:val="000C7C3B"/>
    <w:rsid w:val="000D5EBD"/>
    <w:rsid w:val="000E42EC"/>
    <w:rsid w:val="000F36C0"/>
    <w:rsid w:val="00116FC4"/>
    <w:rsid w:val="001436B8"/>
    <w:rsid w:val="00156834"/>
    <w:rsid w:val="00172A27"/>
    <w:rsid w:val="0019510B"/>
    <w:rsid w:val="00223A1A"/>
    <w:rsid w:val="002658C2"/>
    <w:rsid w:val="0027022E"/>
    <w:rsid w:val="00273491"/>
    <w:rsid w:val="002C6B96"/>
    <w:rsid w:val="00313ED7"/>
    <w:rsid w:val="00331E76"/>
    <w:rsid w:val="00354800"/>
    <w:rsid w:val="003608FF"/>
    <w:rsid w:val="003613A5"/>
    <w:rsid w:val="00363AF1"/>
    <w:rsid w:val="003736D8"/>
    <w:rsid w:val="003B127A"/>
    <w:rsid w:val="003B3DF8"/>
    <w:rsid w:val="003B627D"/>
    <w:rsid w:val="003C11CD"/>
    <w:rsid w:val="00423880"/>
    <w:rsid w:val="00436667"/>
    <w:rsid w:val="0046509E"/>
    <w:rsid w:val="004755F0"/>
    <w:rsid w:val="00480C95"/>
    <w:rsid w:val="00497675"/>
    <w:rsid w:val="004C44B8"/>
    <w:rsid w:val="004D5EC7"/>
    <w:rsid w:val="004E44CD"/>
    <w:rsid w:val="004F52CE"/>
    <w:rsid w:val="004F657A"/>
    <w:rsid w:val="00513608"/>
    <w:rsid w:val="005159FA"/>
    <w:rsid w:val="00525A1D"/>
    <w:rsid w:val="00531294"/>
    <w:rsid w:val="0054411A"/>
    <w:rsid w:val="005471BE"/>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86F1D"/>
    <w:rsid w:val="007C517C"/>
    <w:rsid w:val="007D1FD5"/>
    <w:rsid w:val="008075EB"/>
    <w:rsid w:val="00815F95"/>
    <w:rsid w:val="00842C21"/>
    <w:rsid w:val="00875A34"/>
    <w:rsid w:val="00885095"/>
    <w:rsid w:val="00890562"/>
    <w:rsid w:val="008A3DC7"/>
    <w:rsid w:val="008A495C"/>
    <w:rsid w:val="008B06CC"/>
    <w:rsid w:val="008E10AC"/>
    <w:rsid w:val="009201A7"/>
    <w:rsid w:val="00921419"/>
    <w:rsid w:val="0094175F"/>
    <w:rsid w:val="00953F02"/>
    <w:rsid w:val="00965BF7"/>
    <w:rsid w:val="00970184"/>
    <w:rsid w:val="009B3345"/>
    <w:rsid w:val="009E0A8E"/>
    <w:rsid w:val="009F1930"/>
    <w:rsid w:val="009F3D4B"/>
    <w:rsid w:val="009F7007"/>
    <w:rsid w:val="00A13255"/>
    <w:rsid w:val="00A22723"/>
    <w:rsid w:val="00A31B09"/>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5076C"/>
    <w:rsid w:val="00C6365E"/>
    <w:rsid w:val="00C83656"/>
    <w:rsid w:val="00C90E08"/>
    <w:rsid w:val="00CA2500"/>
    <w:rsid w:val="00CA5EA3"/>
    <w:rsid w:val="00CF2DFF"/>
    <w:rsid w:val="00D16246"/>
    <w:rsid w:val="00D30F13"/>
    <w:rsid w:val="00D6721F"/>
    <w:rsid w:val="00DB50C2"/>
    <w:rsid w:val="00DC2E13"/>
    <w:rsid w:val="00DF5C43"/>
    <w:rsid w:val="00E0421A"/>
    <w:rsid w:val="00E31605"/>
    <w:rsid w:val="00E6173E"/>
    <w:rsid w:val="00E80FF7"/>
    <w:rsid w:val="00EA21CF"/>
    <w:rsid w:val="00ED3396"/>
    <w:rsid w:val="00EE548B"/>
    <w:rsid w:val="00F176EF"/>
    <w:rsid w:val="00F37CB8"/>
    <w:rsid w:val="00F42642"/>
    <w:rsid w:val="00F67227"/>
    <w:rsid w:val="00F70A98"/>
    <w:rsid w:val="00F80F62"/>
    <w:rsid w:val="00F916B5"/>
    <w:rsid w:val="00F95777"/>
    <w:rsid w:val="00FA6414"/>
    <w:rsid w:val="00FB1A41"/>
    <w:rsid w:val="00FC4246"/>
    <w:rsid w:val="00FC61D4"/>
    <w:rsid w:val="00FE0F54"/>
    <w:rsid w:val="00FE1F0E"/>
    <w:rsid w:val="00FE650B"/>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A6606D"/>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6F7098"/>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21DD6"/>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3F5A5F"/>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45B5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8C3408"/>
    <w:rsid w:val="419C05B2"/>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27E42"/>
    <w:rsid w:val="4264023E"/>
    <w:rsid w:val="426749F0"/>
    <w:rsid w:val="42675CD5"/>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qFormat/>
    <w:uiPriority w:val="0"/>
    <w:rPr>
      <w:rFonts w:asciiTheme="minorHAnsi" w:hAnsiTheme="minorHAnsi" w:eastAsiaTheme="minorEastAsia" w:cstheme="minorBidi"/>
      <w:b/>
      <w:bCs/>
      <w:kern w:val="2"/>
      <w:sz w:val="21"/>
      <w:szCs w:val="24"/>
    </w:rPr>
  </w:style>
  <w:style w:type="table" w:customStyle="1" w:styleId="21">
    <w:name w:val="网格型浅色1"/>
    <w:basedOn w:val="10"/>
    <w:autoRedefine/>
    <w:qFormat/>
    <w:uiPriority w:val="40"/>
    <w:rPr>
      <w:rFonts w:asciiTheme="minorHAnsi" w:hAnsiTheme="minorHAnsi" w:eastAsiaTheme="minorEastAsia" w:cstheme="minorBidi"/>
      <w:kern w:val="2"/>
      <w:sz w:val="21"/>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788</Words>
  <Characters>4238</Characters>
  <Lines>117</Lines>
  <Paragraphs>33</Paragraphs>
  <TotalTime>5</TotalTime>
  <ScaleCrop>false</ScaleCrop>
  <LinksUpToDate>false</LinksUpToDate>
  <CharactersWithSpaces>4952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念安，</cp:lastModifiedBy>
  <dcterms:modified xsi:type="dcterms:W3CDTF">2026-02-05T08:33:40Z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8E79D54D342F4BDDB8D3325FDCEF5E56</vt:lpwstr>
  </property>
  <property fmtid="{D5CDD505-2E9C-101B-9397-08002B2CF9AE}" pid="4" name="KSOTemplateDocerSaveRecord">
    <vt:lpwstr>eyJoZGlkIjoiYzZkNzQ4ZWFiZmQ4NTRhOWRkZTk3YTMwMjlmMmZhYmUiLCJ1c2VySWQiOiIyMDAwMjgxMDEifQ==</vt:lpwstr>
  </property>
</Properties>
</file>