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DDF1" w14:textId="77777777" w:rsidR="006568C4" w:rsidRDefault="00000000">
      <w:pPr>
        <w:adjustRightInd w:val="0"/>
        <w:snapToGrid w:val="0"/>
        <w:spacing w:beforeLines="100" w:before="312"/>
        <w:rPr>
          <w:rFonts w:ascii="Times New Roman" w:hAnsi="Times New Roman" w:cs="Times New Roman"/>
          <w:sz w:val="24"/>
        </w:rPr>
      </w:pPr>
      <w:r>
        <w:rPr>
          <w:rFonts w:ascii="Times New Roman" w:eastAsia="宋体" w:hAnsi="Times New Roman" w:cs="Times New Roman"/>
          <w:i/>
          <w:noProof/>
          <w:color w:val="190F13"/>
          <w:sz w:val="24"/>
          <w:vertAlign w:val="superscript"/>
        </w:rPr>
        <mc:AlternateContent>
          <mc:Choice Requires="wpg">
            <w:drawing>
              <wp:anchor distT="0" distB="0" distL="114300" distR="114300" simplePos="0" relativeHeight="251660288" behindDoc="1" locked="0" layoutInCell="1" allowOverlap="1" wp14:anchorId="62935643" wp14:editId="49614625">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6783B61F" id="组合 9"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33CCD24F" wp14:editId="53ACE482">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3A0EC43C" id="组合 4" o:spid="_x0000_s1026" style="position:absolute;margin-left:357.85pt;margin-top:6.1pt;width:63pt;height:34.5pt;z-index:-251657216"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9nd92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Perspective</w:t>
      </w:r>
    </w:p>
    <w:p w14:paraId="7A074E06" w14:textId="77777777" w:rsidR="006568C4"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05493677" w14:textId="77777777" w:rsidR="006568C4"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 xml:space="preserve">s </w:t>
      </w:r>
      <w:bookmarkStart w:id="1" w:name="OLE_LINK4"/>
      <w:r>
        <w:rPr>
          <w:rFonts w:ascii="Times New Roman" w:hAnsi="Times New Roman" w:cs="Times New Roman"/>
          <w:b/>
          <w:bCs/>
          <w:i/>
          <w:iCs/>
          <w:color w:val="808080" w:themeColor="background1" w:themeShade="80"/>
          <w:sz w:val="24"/>
        </w:rPr>
        <w:t>except for standardized ones</w:t>
      </w:r>
      <w:bookmarkEnd w:id="1"/>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64BB377D" w14:textId="77777777" w:rsidR="006568C4" w:rsidRDefault="00000000">
      <w:pPr>
        <w:adjustRightInd w:val="0"/>
        <w:snapToGrid w:val="0"/>
        <w:spacing w:beforeLines="50" w:before="156"/>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7D4CA274" w14:textId="77777777" w:rsidR="006568C4"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00013980" w14:textId="77777777" w:rsidR="006568C4"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A0792A1" w14:textId="77777777" w:rsidR="006568C4"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1F910DFF" w14:textId="77777777" w:rsidR="006568C4"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6568C4">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AD2B95E" w14:textId="77777777" w:rsidR="006568C4" w:rsidRDefault="00000000">
      <w:pPr>
        <w:adjustRightInd w:val="0"/>
        <w:snapToGrid w:val="0"/>
        <w:spacing w:beforeLines="50" w:before="156"/>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211E1ACD" w14:textId="77777777" w:rsidR="006568C4"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1AF6E12C" w14:textId="77777777" w:rsidR="006568C4"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C291F64" w14:textId="77777777" w:rsidR="006568C4" w:rsidRDefault="00000000">
      <w:pPr>
        <w:pStyle w:val="MDPI31text"/>
        <w:ind w:firstLine="0"/>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3" w:history="1">
        <w:r w:rsidR="006568C4">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20A600F8" w14:textId="77777777" w:rsidR="006568C4"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1B7FE211" w14:textId="77777777" w:rsidR="006568C4"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141073F4" w14:textId="77777777" w:rsidR="006568C4" w:rsidRDefault="00000000">
      <w:pPr>
        <w:adjustRightInd w:val="0"/>
        <w:snapToGrid w:val="0"/>
        <w:spacing w:beforeLines="50" w:before="156" w:line="260" w:lineRule="atLeas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eastAsia="宋体" w:hAnsi="Times New Roman" w:cs="Times New Roman"/>
          <w:i/>
          <w:sz w:val="24"/>
        </w:rPr>
        <w:t>etc</w:t>
      </w:r>
      <w:r>
        <w:rPr>
          <w:rFonts w:ascii="Times New Roman" w:eastAsia="宋体" w:hAnsi="Times New Roman" w:cs="Times New Roman"/>
          <w:iCs/>
          <w:sz w:val="24"/>
        </w:rPr>
        <w:t xml:space="preserve">. </w:t>
      </w:r>
    </w:p>
    <w:p w14:paraId="563D1FF2" w14:textId="77777777" w:rsidR="006568C4" w:rsidRDefault="00000000">
      <w:pPr>
        <w:adjustRightInd w:val="0"/>
        <w:snapToGrid w:val="0"/>
        <w:spacing w:beforeLines="100" w:before="312" w:line="260" w:lineRule="atLeas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01FF6B9F" w14:textId="77777777" w:rsidR="006568C4" w:rsidRDefault="00000000">
      <w:p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3ED06B09" w14:textId="77777777" w:rsidR="006568C4"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5CA6FB8E" w14:textId="77777777" w:rsidR="006568C4"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0D0D6BC7" w14:textId="77777777" w:rsidR="006568C4"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56EC6811"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4661258C" w14:textId="77777777" w:rsidR="006568C4"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17EA4FBE" w14:textId="77777777" w:rsidR="006568C4" w:rsidRDefault="00000000">
      <w:pPr>
        <w:widowControl/>
        <w:adjustRightInd w:val="0"/>
        <w:snapToGrid w:val="0"/>
        <w:spacing w:beforeLines="50" w:before="156" w:line="260" w:lineRule="atLeas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1301E45F" w14:textId="77777777" w:rsidR="006568C4"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r>
        <w:rPr>
          <w:rFonts w:ascii="Times New Roman" w:hAnsi="Times New Roman" w:cs="Times New Roman"/>
          <w:color w:val="808080" w:themeColor="background1" w:themeShade="80"/>
          <w:sz w:val="24"/>
        </w:rPr>
        <w:t xml:space="preserve"> </w:t>
      </w:r>
    </w:p>
    <w:p w14:paraId="4AA2DAC4" w14:textId="77777777" w:rsidR="006568C4"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4AF6B44" w14:textId="77777777" w:rsidR="006568C4"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All drugs and chemicals used, including generic name(s), dose(s), and route(s) of administration, should be identified precisely.</w:t>
      </w:r>
    </w:p>
    <w:p w14:paraId="38B2F648"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6568C4">
          <w:rPr>
            <w:rStyle w:val="af"/>
            <w:rFonts w:ascii="Times New Roman" w:hAnsi="Times New Roman" w:cs="Times New Roman"/>
            <w:b/>
            <w:bCs/>
            <w:sz w:val="24"/>
          </w:rPr>
          <w:t>Supplementary Material Template</w:t>
        </w:r>
      </w:hyperlink>
      <w:r>
        <w:rPr>
          <w:rFonts w:ascii="Times New Roman" w:hAnsi="Times New Roman" w:cs="Times New Roman"/>
          <w:color w:val="000000" w:themeColor="text1"/>
          <w:sz w:val="24"/>
        </w:rPr>
        <w:t>.</w:t>
      </w:r>
    </w:p>
    <w:p w14:paraId="449EF52F" w14:textId="77777777" w:rsidR="006568C4"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130DB6D" w14:textId="77777777" w:rsidR="006568C4"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6A5EA5C8" w14:textId="77777777" w:rsidR="006568C4"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4C0AEAE8" w14:textId="77777777" w:rsidR="006568C4"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6568C4" w14:paraId="3CCA08F4" w14:textId="77777777" w:rsidTr="006568C4">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9E2ACC8" w14:textId="77777777" w:rsidR="006568C4"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17" w:type="dxa"/>
          </w:tcPr>
          <w:p w14:paraId="680B6113" w14:textId="77777777" w:rsidR="006568C4" w:rsidRDefault="00000000">
            <w:pPr>
              <w:pStyle w:val="MDPI42tablebody"/>
              <w:spacing w:line="360" w:lineRule="auto"/>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2" w:type="dxa"/>
          </w:tcPr>
          <w:p w14:paraId="17980FBD" w14:textId="77777777" w:rsidR="006568C4" w:rsidRDefault="00000000">
            <w:pPr>
              <w:pStyle w:val="MDPI42tablebody"/>
              <w:spacing w:line="360" w:lineRule="auto"/>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0" w:type="dxa"/>
          </w:tcPr>
          <w:p w14:paraId="3FA08679" w14:textId="77777777" w:rsidR="006568C4"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4" w:type="dxa"/>
          </w:tcPr>
          <w:p w14:paraId="0C53AE5F" w14:textId="77777777" w:rsidR="006568C4"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18" w:type="dxa"/>
          </w:tcPr>
          <w:p w14:paraId="015520E6" w14:textId="77777777" w:rsidR="006568C4"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1" w:type="dxa"/>
          </w:tcPr>
          <w:p w14:paraId="39DBB560" w14:textId="77777777" w:rsidR="006568C4"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6568C4" w14:paraId="1791BB6D" w14:textId="77777777" w:rsidTr="006568C4">
        <w:trPr>
          <w:trHeight w:val="394"/>
        </w:trPr>
        <w:tc>
          <w:tcPr>
            <w:tcW w:w="1533" w:type="dxa"/>
          </w:tcPr>
          <w:p w14:paraId="2DC65F38" w14:textId="77777777" w:rsidR="006568C4"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17" w:type="dxa"/>
          </w:tcPr>
          <w:p w14:paraId="2E3FB45F"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2" w:type="dxa"/>
          </w:tcPr>
          <w:p w14:paraId="5CF76FDC" w14:textId="77777777" w:rsidR="006568C4"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0" w:type="dxa"/>
          </w:tcPr>
          <w:p w14:paraId="1B8B327A"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4" w:type="dxa"/>
          </w:tcPr>
          <w:p w14:paraId="461C26D8"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18" w:type="dxa"/>
          </w:tcPr>
          <w:p w14:paraId="410B12F9"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1" w:type="dxa"/>
          </w:tcPr>
          <w:p w14:paraId="60E3A083"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6568C4" w14:paraId="083CEA1E" w14:textId="77777777" w:rsidTr="006568C4">
        <w:trPr>
          <w:trHeight w:val="399"/>
        </w:trPr>
        <w:tc>
          <w:tcPr>
            <w:tcW w:w="1533" w:type="dxa"/>
          </w:tcPr>
          <w:p w14:paraId="4CD00569" w14:textId="77777777" w:rsidR="006568C4"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17" w:type="dxa"/>
          </w:tcPr>
          <w:p w14:paraId="636C6B8D" w14:textId="77777777" w:rsidR="006568C4"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2" w:type="dxa"/>
          </w:tcPr>
          <w:p w14:paraId="5166FB54"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0" w:type="dxa"/>
          </w:tcPr>
          <w:p w14:paraId="76C4B010"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4" w:type="dxa"/>
          </w:tcPr>
          <w:p w14:paraId="72A33AE3"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18" w:type="dxa"/>
          </w:tcPr>
          <w:p w14:paraId="7B171803"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1" w:type="dxa"/>
          </w:tcPr>
          <w:p w14:paraId="40012D8A"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6568C4" w14:paraId="73FCDC5B" w14:textId="77777777" w:rsidTr="006568C4">
        <w:trPr>
          <w:trHeight w:val="399"/>
        </w:trPr>
        <w:tc>
          <w:tcPr>
            <w:tcW w:w="1533" w:type="dxa"/>
          </w:tcPr>
          <w:p w14:paraId="23EE325A"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17" w:type="dxa"/>
          </w:tcPr>
          <w:p w14:paraId="040E7C0B" w14:textId="77777777" w:rsidR="006568C4"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2" w:type="dxa"/>
          </w:tcPr>
          <w:p w14:paraId="3AB96134" w14:textId="77777777" w:rsidR="006568C4"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0" w:type="dxa"/>
          </w:tcPr>
          <w:p w14:paraId="74D2CBFF"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4" w:type="dxa"/>
          </w:tcPr>
          <w:p w14:paraId="55E8FA1C"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18" w:type="dxa"/>
          </w:tcPr>
          <w:p w14:paraId="65CFE367"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1" w:type="dxa"/>
          </w:tcPr>
          <w:p w14:paraId="7353E173" w14:textId="77777777" w:rsidR="006568C4"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469E7855" w14:textId="77777777" w:rsidR="006568C4" w:rsidRDefault="00000000">
      <w:pPr>
        <w:widowControl/>
        <w:adjustRightInd w:val="0"/>
        <w:snapToGrid w:val="0"/>
        <w:spacing w:line="260" w:lineRule="atLeas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87B36A9" w14:textId="77777777" w:rsidR="006568C4"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39ECCCCF" w14:textId="77777777" w:rsidR="006568C4"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C79EBC1" w14:textId="77777777" w:rsidR="006568C4"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7C561AAF" w14:textId="77777777" w:rsidR="006568C4"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E4AA809" w14:textId="77777777" w:rsidR="006568C4"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611D0981" w14:textId="77777777" w:rsidR="006568C4"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Explanatory matter should also be placed in footnotes;</w:t>
      </w:r>
    </w:p>
    <w:p w14:paraId="32028875" w14:textId="77777777" w:rsidR="006568C4"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639CE3E" w14:textId="77777777" w:rsidR="006568C4"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6568C4" w14:paraId="4D6B39DD" w14:textId="77777777">
        <w:trPr>
          <w:jc w:val="center"/>
        </w:trPr>
        <w:tc>
          <w:tcPr>
            <w:tcW w:w="8409" w:type="dxa"/>
          </w:tcPr>
          <w:p w14:paraId="12A9DCEB" w14:textId="77777777" w:rsidR="006568C4" w:rsidRDefault="00000000">
            <w:pPr>
              <w:pStyle w:val="MDPI39equation"/>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6" w:dyaOrig="477" w14:anchorId="2AC73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5" o:title=""/>
                </v:shape>
                <o:OLEObject Type="Embed" ProgID="Equation.3" ShapeID="_x0000_i1025" DrawAspect="Content" ObjectID="_1827068576" r:id="rId16"/>
              </w:object>
            </w:r>
          </w:p>
        </w:tc>
        <w:tc>
          <w:tcPr>
            <w:tcW w:w="435" w:type="dxa"/>
            <w:vAlign w:val="center"/>
          </w:tcPr>
          <w:p w14:paraId="198CE649" w14:textId="77777777" w:rsidR="006568C4" w:rsidRDefault="00000000">
            <w:pPr>
              <w:pStyle w:val="MDPI3aequationnumber"/>
              <w:spacing w:line="260" w:lineRule="atLeast"/>
              <w:jc w:val="center"/>
              <w:rPr>
                <w:rFonts w:ascii="Times New Roman" w:hAnsi="Times New Roman"/>
                <w:sz w:val="24"/>
                <w:szCs w:val="24"/>
              </w:rPr>
            </w:pPr>
            <w:r>
              <w:rPr>
                <w:rFonts w:ascii="Times New Roman" w:hAnsi="Times New Roman"/>
                <w:sz w:val="24"/>
                <w:szCs w:val="24"/>
              </w:rPr>
              <w:t>(1)</w:t>
            </w:r>
          </w:p>
        </w:tc>
      </w:tr>
    </w:tbl>
    <w:p w14:paraId="2597A7BB" w14:textId="77777777" w:rsidR="006568C4"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60A7F9C" w14:textId="77777777" w:rsidR="006568C4"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6568C4" w14:paraId="6816E53F" w14:textId="77777777">
        <w:tc>
          <w:tcPr>
            <w:tcW w:w="4422" w:type="dxa"/>
          </w:tcPr>
          <w:p w14:paraId="1BCE52E0" w14:textId="77777777" w:rsidR="006568C4" w:rsidRDefault="00000000">
            <w:pPr>
              <w:pStyle w:val="MDPI52figure"/>
              <w:adjustRightInd w:val="0"/>
              <w:snapToGrid w:val="0"/>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37B5895F" wp14:editId="4A63D4AF">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554E0EA0" w14:textId="77777777" w:rsidR="006568C4"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2E93F342" w14:textId="77777777" w:rsidR="006568C4"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72E308E0" wp14:editId="0AD86846">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7CE7EA5D" w14:textId="77777777" w:rsidR="006568C4"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6568C4" w14:paraId="58CDC4F6" w14:textId="77777777">
        <w:tc>
          <w:tcPr>
            <w:tcW w:w="8844" w:type="dxa"/>
            <w:gridSpan w:val="2"/>
          </w:tcPr>
          <w:p w14:paraId="51659EA4" w14:textId="77777777" w:rsidR="006568C4" w:rsidRDefault="00000000">
            <w:pPr>
              <w:pStyle w:val="MDPI52figure"/>
              <w:adjustRightInd w:val="0"/>
              <w:snapToGrid w:val="0"/>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2B24F250" wp14:editId="4370B95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83E3FA" w14:textId="77777777" w:rsidR="006568C4"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6909F4B8"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DFE3180" w14:textId="77777777" w:rsidR="006568C4"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BBDE29A"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EAB0564"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21FA7FD5"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2206D231"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Labels, numbers, letters, arrows, and symbols in figure should be clear, of uniform size, and contrast with the background;</w:t>
      </w:r>
    </w:p>
    <w:p w14:paraId="7ABA6409"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5B9C9CFC"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223F6928"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5B1F5CD"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472FA43F"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BCD896" w14:textId="77777777" w:rsidR="006568C4"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CCDA1D9"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bookmarkStart w:id="2" w:name="OLE_LINK1"/>
      <w:bookmarkStart w:id="3" w:name="OLE_LINK3"/>
      <w:r>
        <w:rPr>
          <w:rFonts w:ascii="Times New Roman" w:eastAsia="宋体" w:hAnsi="Times New Roman" w:cs="Times New Roman"/>
          <w:b/>
          <w:bCs/>
          <w:iCs/>
          <w:color w:val="000000"/>
          <w:kern w:val="0"/>
          <w:sz w:val="24"/>
        </w:rPr>
        <w:t>Acknowledgments</w:t>
      </w:r>
    </w:p>
    <w:p w14:paraId="67C6D3E0" w14:textId="77777777" w:rsidR="006568C4" w:rsidRDefault="00000000">
      <w:pPr>
        <w:pStyle w:val="a9"/>
        <w:shd w:val="clear" w:color="auto" w:fill="FFFFFF"/>
        <w:spacing w:before="0" w:beforeAutospacing="0"/>
        <w:jc w:val="both"/>
        <w:rPr>
          <w:rFonts w:ascii="Times New Roman" w:hAnsi="Times New Roman" w:cs="Times New Roman"/>
        </w:rPr>
      </w:pPr>
      <w:r>
        <w:rPr>
          <w:rFonts w:ascii="Times New Roman" w:hAnsi="Times New Roman" w:cs="Times New Roman"/>
        </w:rPr>
        <w:t>Anyone who contributed towards the article but does not meet </w:t>
      </w:r>
      <w:hyperlink r:id="rId20" w:history="1">
        <w:r w:rsidR="006568C4">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1BB349B"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15DDFE4B"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007150E0" w14:textId="77777777" w:rsidR="006568C4"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6385BBF" w14:textId="77777777" w:rsidR="006568C4" w:rsidRDefault="00000000">
      <w:pPr>
        <w:widowControl/>
        <w:adjustRightInd w:val="0"/>
        <w:snapToGrid w:val="0"/>
        <w:spacing w:beforeLines="50" w:before="156" w:line="260" w:lineRule="atLeas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0B2474F9" w14:textId="77777777" w:rsidR="006568C4"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0A8377C" w14:textId="77777777" w:rsidR="006568C4"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06542AA" w14:textId="77777777" w:rsidR="006568C4"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w:t>
      </w:r>
    </w:p>
    <w:p w14:paraId="67BB2ED6"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1300BD58" w14:textId="77777777" w:rsidR="006568C4"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1E6CA2DA"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8B03C6B" w14:textId="77777777" w:rsidR="006568C4"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0AA9B1" w14:textId="77777777" w:rsidR="006568C4"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01CB675" w14:textId="77777777" w:rsidR="006568C4" w:rsidRDefault="00000000">
      <w:pPr>
        <w:widowControl/>
        <w:adjustRightInd w:val="0"/>
        <w:snapToGrid w:val="0"/>
        <w:spacing w:beforeLines="50" w:before="156"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58906119" w14:textId="77777777" w:rsidR="006568C4"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None.</w:t>
      </w:r>
    </w:p>
    <w:p w14:paraId="35E9D792"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66FFCD8F" w14:textId="77777777" w:rsidR="006568C4"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lastRenderedPageBreak/>
        <w:t>If there are any potential conflicts of interest that may be perceived as inappropriately influencing the representation or interpretation of reported research results, please declare here.</w:t>
      </w:r>
    </w:p>
    <w:p w14:paraId="7E7DD8C3"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F1ADAC"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1EA06AA4"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hyperlink r:id="rId21" w:history="1">
        <w:r w:rsidR="006568C4">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0B27D02D"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16A037A"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2B140A7B"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3AE2DC23"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2C24012F" w14:textId="77777777" w:rsidR="006568C4"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bookmarkStart w:id="8" w:name="OLE_LINK16"/>
      <w:bookmarkStart w:id="9" w:name="OLE_LINK9"/>
      <w:bookmarkEnd w:id="2"/>
      <w:bookmarkEnd w:id="3"/>
      <w:r>
        <w:rPr>
          <w:rFonts w:ascii="Times New Roman" w:eastAsia="宋体" w:hAnsi="Times New Roman" w:cs="Times New Roman"/>
          <w:b/>
          <w:bCs/>
          <w:iCs/>
          <w:color w:val="000000"/>
          <w:kern w:val="0"/>
          <w:sz w:val="24"/>
        </w:rPr>
        <w:t>Copyright</w:t>
      </w:r>
    </w:p>
    <w:p w14:paraId="7C4E3313" w14:textId="77777777" w:rsidR="006568C4"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2024.</w:t>
      </w:r>
    </w:p>
    <w:p w14:paraId="5F0A5949" w14:textId="77777777" w:rsidR="006568C4"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B102940" w14:textId="77777777" w:rsidR="006568C4" w:rsidRDefault="00000000">
      <w:pPr>
        <w:adjustRightInd w:val="0"/>
        <w:snapToGrid w:val="0"/>
        <w:spacing w:beforeLines="50" w:before="156" w:afterLines="50" w:after="156" w:line="260" w:lineRule="atLeas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260B4D06"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1A96B1AE"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222B132A"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698AF983" w14:textId="77777777" w:rsidR="006568C4"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2" w:history="1">
        <w:r w:rsidR="006568C4">
          <w:rPr>
            <w:rStyle w:val="af"/>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13930CD4" w14:textId="77777777" w:rsidR="006568C4"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Examples of references are shown below:</w:t>
      </w:r>
    </w:p>
    <w:bookmarkEnd w:id="8"/>
    <w:bookmarkEnd w:id="9"/>
    <w:p w14:paraId="0B5FEC9F"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7A054DCD"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38869A99"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1EE5B36E"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6D214040"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2FAAC76B"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45B12A90" w14:textId="77777777" w:rsidR="006568C4" w:rsidRDefault="00000000">
      <w:pPr>
        <w:widowControl/>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Diabetes Prevention Program Research Group. </w:t>
      </w:r>
      <w:bookmarkStart w:id="10" w:name="OLE_LINK8"/>
      <w:bookmarkStart w:id="11" w:name="OLE_LINK7"/>
      <w:r>
        <w:rPr>
          <w:rFonts w:ascii="Times New Roman" w:eastAsia="宋体" w:hAnsi="Times New Roman" w:cs="Times New Roman"/>
          <w:color w:val="000000"/>
          <w:kern w:val="0"/>
          <w:sz w:val="24"/>
        </w:rPr>
        <w:t>Hypertension, insulin, and proinsulin in participants with impaired glucose tolerance</w:t>
      </w:r>
      <w:bookmarkEnd w:id="10"/>
      <w:bookmarkEnd w:id="11"/>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38BAB639"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6DED6F5D" w14:textId="77777777" w:rsidR="006568C4" w:rsidRDefault="00000000">
      <w:pPr>
        <w:widowControl/>
        <w:spacing w:line="260" w:lineRule="atLeas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48D627A3"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5ABB84EF"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66E7B42A"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61F7AC50"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759A58F8"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3D540F1D"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5CD4B076"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66829268"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3A377D11"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7DC5D47B"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3" w:history="1">
        <w:r w:rsidR="006568C4">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297574B0"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1A0A3D1C"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15D7255B"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79C0C0CA"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72B0F014" w14:textId="77777777" w:rsidR="006568C4"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08F72249" w14:textId="77777777" w:rsidR="006568C4"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0BEAF71B" w14:textId="77777777" w:rsidR="006568C4" w:rsidRDefault="006568C4">
      <w:pPr>
        <w:widowControl/>
        <w:adjustRightInd w:val="0"/>
        <w:snapToGrid w:val="0"/>
        <w:spacing w:line="260" w:lineRule="atLeast"/>
        <w:rPr>
          <w:rFonts w:ascii="Times New Roman" w:eastAsia="宋体" w:hAnsi="Times New Roman" w:cs="Times New Roman"/>
          <w:color w:val="000000"/>
          <w:kern w:val="0"/>
          <w:sz w:val="24"/>
        </w:rPr>
      </w:pPr>
    </w:p>
    <w:p w14:paraId="50167D35" w14:textId="77777777" w:rsidR="006568C4"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09CE2F27" w14:textId="77777777" w:rsidR="006568C4"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45F396ED" w14:textId="77777777" w:rsidR="006568C4" w:rsidRDefault="006568C4">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2CF1DEEF" w14:textId="77777777" w:rsidR="006568C4"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560252AF" w14:textId="77777777"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322AF7F0"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5768F66"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0681466" w14:textId="77777777" w:rsidR="006568C4"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53E34673" w14:textId="77777777"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4" w:history="1">
        <w:r w:rsidR="006568C4">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511288DC"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4F194D04" w14:textId="77777777" w:rsidR="006568C4"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18AC7E47" w14:textId="77777777"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5" w:history="1">
        <w:r w:rsidR="006568C4">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2C752BE2"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6213886" w14:textId="77777777" w:rsidR="006568C4"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638221BA" w14:textId="77777777"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254CD7E"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A5C03FC" w14:textId="77777777" w:rsidR="006568C4"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1711B0A4" w14:textId="77777777"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1CB2521B" w14:textId="77777777" w:rsidR="006568C4" w:rsidRDefault="006568C4">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0049713" w14:textId="77777777" w:rsidR="006568C4"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4B246F65" w14:textId="52EE9BB9" w:rsidR="006568C4"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6" w:history="1">
        <w:r w:rsidR="006568C4">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3D6FB0">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4FD25813" w14:textId="77777777" w:rsidR="006568C4" w:rsidRDefault="006568C4">
      <w:pPr>
        <w:widowControl/>
        <w:adjustRightInd w:val="0"/>
        <w:snapToGrid w:val="0"/>
        <w:spacing w:line="260" w:lineRule="atLeast"/>
        <w:rPr>
          <w:rFonts w:ascii="Times New Roman" w:eastAsia="宋体" w:hAnsi="Times New Roman" w:cs="Times New Roman"/>
          <w:color w:val="000000"/>
          <w:kern w:val="0"/>
          <w:sz w:val="24"/>
        </w:rPr>
      </w:pPr>
    </w:p>
    <w:p w14:paraId="5389A532" w14:textId="77777777" w:rsidR="006568C4" w:rsidRDefault="00000000">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7" w:history="1">
        <w:r w:rsidR="006568C4">
          <w:rPr>
            <w:rStyle w:val="af"/>
            <w:rFonts w:ascii="Times New Roman" w:eastAsia="宋体" w:hAnsi="Times New Roman" w:cs="Times New Roman"/>
            <w:b/>
            <w:bCs/>
            <w:i/>
            <w:color w:val="000000"/>
            <w:kern w:val="0"/>
            <w:sz w:val="24"/>
          </w:rPr>
          <w:t>https://www.nlm.nih.gov/bsd/uniform_requirements.html</w:t>
        </w:r>
        <w:r w:rsidR="006568C4">
          <w:rPr>
            <w:rStyle w:val="af"/>
            <w:rFonts w:ascii="Times New Roman" w:eastAsia="宋体" w:hAnsi="Times New Roman" w:cs="Times New Roman"/>
            <w:b/>
            <w:bCs/>
            <w:iCs/>
            <w:color w:val="000000"/>
            <w:kern w:val="0"/>
            <w:sz w:val="24"/>
          </w:rPr>
          <w:t>)</w:t>
        </w:r>
      </w:hyperlink>
    </w:p>
    <w:sectPr w:rsidR="006568C4">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8976" w14:textId="77777777" w:rsidR="00EA5ED3" w:rsidRDefault="00EA5ED3">
      <w:r>
        <w:separator/>
      </w:r>
    </w:p>
  </w:endnote>
  <w:endnote w:type="continuationSeparator" w:id="0">
    <w:p w14:paraId="6796DD08" w14:textId="77777777" w:rsidR="00EA5ED3" w:rsidRDefault="00E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92CD" w14:textId="77777777" w:rsidR="00D845F9" w:rsidRDefault="00D845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33E0" w14:textId="77777777" w:rsidR="006568C4" w:rsidRDefault="006568C4">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F5DF" w14:textId="77777777" w:rsidR="006568C4" w:rsidRDefault="006568C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4A71" w14:textId="77777777" w:rsidR="00EA5ED3" w:rsidRDefault="00EA5ED3">
      <w:r>
        <w:separator/>
      </w:r>
    </w:p>
  </w:footnote>
  <w:footnote w:type="continuationSeparator" w:id="0">
    <w:p w14:paraId="6D4255AA" w14:textId="77777777" w:rsidR="00EA5ED3" w:rsidRDefault="00EA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5144" w14:textId="77777777" w:rsidR="006568C4"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7039" w14:textId="77777777" w:rsidR="006568C4"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F194" w14:textId="0D7B357A" w:rsidR="006568C4" w:rsidRDefault="00D845F9">
    <w:pPr>
      <w:pStyle w:val="a7"/>
    </w:pPr>
    <w:r>
      <w:rPr>
        <w:rFonts w:hint="eastAsia"/>
        <w:noProof/>
      </w:rPr>
      <w:t xml:space="preserve"> </w:t>
    </w:r>
    <w:r w:rsidR="00737D4E">
      <w:rPr>
        <w:rFonts w:hint="eastAsia"/>
        <w:noProof/>
      </w:rPr>
      <w:t xml:space="preserve"> </w:t>
    </w:r>
    <w:r>
      <w:rPr>
        <w:rFonts w:hint="eastAsia"/>
        <w:noProof/>
      </w:rPr>
      <w:drawing>
        <wp:inline distT="0" distB="0" distL="0" distR="0" wp14:anchorId="278982D9" wp14:editId="1CC2CF6C">
          <wp:extent cx="1247466" cy="388800"/>
          <wp:effectExtent l="0" t="0" r="0" b="0"/>
          <wp:docPr id="21355192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19292" name="图片 2135519292"/>
                  <pic:cNvPicPr/>
                </pic:nvPicPr>
                <pic:blipFill>
                  <a:blip r:embed="rId1">
                    <a:extLst>
                      <a:ext uri="{28A0092B-C50C-407E-A947-70E740481C1C}">
                        <a14:useLocalDpi xmlns:a14="http://schemas.microsoft.com/office/drawing/2010/main" val="0"/>
                      </a:ext>
                    </a:extLst>
                  </a:blip>
                  <a:stretch>
                    <a:fillRect/>
                  </a:stretch>
                </pic:blipFill>
                <pic:spPr>
                  <a:xfrm>
                    <a:off x="0" y="0"/>
                    <a:ext cx="1247466" cy="388800"/>
                  </a:xfrm>
                  <a:prstGeom prst="rect">
                    <a:avLst/>
                  </a:prstGeom>
                </pic:spPr>
              </pic:pic>
            </a:graphicData>
          </a:graphic>
        </wp:inline>
      </w:drawing>
    </w:r>
    <w:r w:rsidR="00737D4E">
      <w:rPr>
        <w:rFonts w:hint="eastAsia"/>
        <w:noProof/>
      </w:rPr>
      <w:t xml:space="preserve">                                               </w:t>
    </w:r>
    <w:r>
      <w:rPr>
        <w:rFonts w:hint="eastAsia"/>
        <w:noProof/>
      </w:rPr>
      <w:t xml:space="preserve">   </w:t>
    </w:r>
    <w:r w:rsidR="00737D4E">
      <w:rPr>
        <w:rFonts w:hint="eastAsia"/>
        <w:noProof/>
      </w:rPr>
      <w:t xml:space="preserve"> </w:t>
    </w:r>
    <w:r w:rsidR="00737D4E">
      <w:rPr>
        <w:noProof/>
      </w:rPr>
      <w:drawing>
        <wp:inline distT="0" distB="0" distL="114300" distR="114300" wp14:anchorId="1AEC5501" wp14:editId="7785CA59">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r w:rsidR="00737D4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386757611">
    <w:abstractNumId w:val="1"/>
  </w:num>
  <w:num w:numId="2" w16cid:durableId="1884361889">
    <w:abstractNumId w:val="0"/>
  </w:num>
  <w:num w:numId="3" w16cid:durableId="188574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62877"/>
    <w:rsid w:val="000D5EBD"/>
    <w:rsid w:val="00111849"/>
    <w:rsid w:val="00117DFA"/>
    <w:rsid w:val="001220F4"/>
    <w:rsid w:val="001535A3"/>
    <w:rsid w:val="00172A27"/>
    <w:rsid w:val="0019510B"/>
    <w:rsid w:val="002040AF"/>
    <w:rsid w:val="002204E9"/>
    <w:rsid w:val="00230020"/>
    <w:rsid w:val="00257826"/>
    <w:rsid w:val="002617AF"/>
    <w:rsid w:val="00273491"/>
    <w:rsid w:val="0028241D"/>
    <w:rsid w:val="00314FC1"/>
    <w:rsid w:val="00331E76"/>
    <w:rsid w:val="00343A08"/>
    <w:rsid w:val="003608FF"/>
    <w:rsid w:val="003B627D"/>
    <w:rsid w:val="003D6FB0"/>
    <w:rsid w:val="00423880"/>
    <w:rsid w:val="0043414C"/>
    <w:rsid w:val="00480B60"/>
    <w:rsid w:val="00497675"/>
    <w:rsid w:val="004F52CE"/>
    <w:rsid w:val="004F6725"/>
    <w:rsid w:val="005570D9"/>
    <w:rsid w:val="00606205"/>
    <w:rsid w:val="00637595"/>
    <w:rsid w:val="00647D2D"/>
    <w:rsid w:val="00654D87"/>
    <w:rsid w:val="006568C4"/>
    <w:rsid w:val="00673FE7"/>
    <w:rsid w:val="00683FB9"/>
    <w:rsid w:val="006D249B"/>
    <w:rsid w:val="007251A5"/>
    <w:rsid w:val="00737D4E"/>
    <w:rsid w:val="0075323B"/>
    <w:rsid w:val="007D1FD5"/>
    <w:rsid w:val="00806A9F"/>
    <w:rsid w:val="008075EB"/>
    <w:rsid w:val="00813DE2"/>
    <w:rsid w:val="00842C21"/>
    <w:rsid w:val="00861745"/>
    <w:rsid w:val="0088009C"/>
    <w:rsid w:val="008A495C"/>
    <w:rsid w:val="0090045A"/>
    <w:rsid w:val="00921419"/>
    <w:rsid w:val="0093559E"/>
    <w:rsid w:val="00963C0B"/>
    <w:rsid w:val="00992976"/>
    <w:rsid w:val="009D2A24"/>
    <w:rsid w:val="009F421E"/>
    <w:rsid w:val="00A166D2"/>
    <w:rsid w:val="00A2762E"/>
    <w:rsid w:val="00A37A37"/>
    <w:rsid w:val="00A533E0"/>
    <w:rsid w:val="00A62E8F"/>
    <w:rsid w:val="00A67D59"/>
    <w:rsid w:val="00B42AC5"/>
    <w:rsid w:val="00B74EF5"/>
    <w:rsid w:val="00B916DA"/>
    <w:rsid w:val="00B97EB9"/>
    <w:rsid w:val="00BA09A1"/>
    <w:rsid w:val="00BB3538"/>
    <w:rsid w:val="00C21591"/>
    <w:rsid w:val="00C442FC"/>
    <w:rsid w:val="00C5076C"/>
    <w:rsid w:val="00C6365E"/>
    <w:rsid w:val="00CA2500"/>
    <w:rsid w:val="00D16246"/>
    <w:rsid w:val="00D532BF"/>
    <w:rsid w:val="00D82131"/>
    <w:rsid w:val="00D845F9"/>
    <w:rsid w:val="00D93A62"/>
    <w:rsid w:val="00DB4687"/>
    <w:rsid w:val="00DF5C43"/>
    <w:rsid w:val="00E31605"/>
    <w:rsid w:val="00E9428E"/>
    <w:rsid w:val="00EA21CF"/>
    <w:rsid w:val="00EA5ED3"/>
    <w:rsid w:val="00ED4A12"/>
    <w:rsid w:val="00EE3899"/>
    <w:rsid w:val="00EE548B"/>
    <w:rsid w:val="00EE7B5F"/>
    <w:rsid w:val="00EF40FB"/>
    <w:rsid w:val="00F0613C"/>
    <w:rsid w:val="00F06ECE"/>
    <w:rsid w:val="00F26C58"/>
    <w:rsid w:val="00F37CB8"/>
    <w:rsid w:val="00F453CC"/>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93AEB"/>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A26DE"/>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42D71"/>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EF7DAF"/>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75B8D"/>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8577A"/>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51DF5"/>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015EEF"/>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DE8F03"/>
  <w15:docId w15:val="{EFC78003-7AE9-4955-B9FC-A3849FA0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cdrjournal.com" TargetMode="External"/><Relationship Id="rId18" Type="http://schemas.openxmlformats.org/officeDocument/2006/relationships/image" Target="media/image7.jpeg"/><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2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cdr/Template_for_Supplementary_Material_cdr.docx"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F4B-4DCF-AAB6-44888195E4F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F4B-4DCF-AAB6-44888195E4F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F4B-4DCF-AAB6-44888195E4FF}"/>
            </c:ext>
          </c:extLst>
        </c:ser>
        <c:dLbls>
          <c:showLegendKey val="0"/>
          <c:showVal val="0"/>
          <c:showCatName val="0"/>
          <c:showSerName val="0"/>
          <c:showPercent val="0"/>
          <c:showBubbleSize val="0"/>
        </c:dLbls>
        <c:gapWidth val="219"/>
        <c:overlap val="-27"/>
        <c:axId val="247406080"/>
        <c:axId val="264154496"/>
      </c:barChart>
      <c:catAx>
        <c:axId val="2474060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4154496"/>
        <c:crosses val="autoZero"/>
        <c:auto val="1"/>
        <c:lblAlgn val="ctr"/>
        <c:lblOffset val="100"/>
        <c:tickLblSkip val="1"/>
        <c:noMultiLvlLbl val="0"/>
      </c:catAx>
      <c:valAx>
        <c:axId val="2641544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740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2197</Words>
  <Characters>12525</Characters>
  <Application>Microsoft Office Word</Application>
  <DocSecurity>0</DocSecurity>
  <Lines>104</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4</cp:revision>
  <dcterms:created xsi:type="dcterms:W3CDTF">2025-07-03T10:30:00Z</dcterms:created>
  <dcterms:modified xsi:type="dcterms:W3CDTF">2025-12-12T10:17:00Z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A1F0E78A69CA4CA0A534DC7A78727EFB</vt:lpwstr>
  </property>
  <property fmtid="{D5CDD505-2E9C-101B-9397-08002B2CF9AE}" pid="4" name="GrammarlyDocumentId">
    <vt:lpwstr>ea403929-b090-4ca0-b3a8-f99384314264</vt:lpwstr>
  </property>
</Properties>
</file>