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2C1584">
      <w:pPr>
        <w:adjustRightInd w:val="0"/>
        <w:snapToGrid w:val="0"/>
        <w:spacing w:line="360" w:lineRule="auto"/>
        <w:jc w:val="left"/>
        <w:rPr>
          <w:rFonts w:ascii="Times New Roman" w:hAnsi="Times New Roman" w:cs="Times New Roman"/>
          <w:sz w:val="24"/>
        </w:rPr>
      </w:pPr>
      <w:r>
        <w:rPr>
          <w:rFonts w:ascii="Times New Roman" w:hAnsi="Times New Roman" w:cs="Times New Roman"/>
          <w:b/>
          <w:bCs/>
          <w:sz w:val="24"/>
        </w:rPr>
        <w:t>Article</w:t>
      </w:r>
    </w:p>
    <w:p w14:paraId="09329050">
      <w:pPr>
        <w:adjustRightInd w:val="0"/>
        <w:snapToGrid w:val="0"/>
        <w:spacing w:line="360" w:lineRule="auto"/>
        <w:jc w:val="left"/>
        <w:rPr>
          <w:rFonts w:ascii="Times New Roman" w:hAnsi="Times New Roman" w:cs="Times New Roman"/>
          <w:b/>
          <w:bCs/>
          <w:sz w:val="24"/>
        </w:rPr>
      </w:pPr>
    </w:p>
    <w:p w14:paraId="600BB4C4">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Concisely convey the main topic(s) of the research</w:t>
      </w:r>
    </w:p>
    <w:p w14:paraId="3C22B9AA">
      <w:pPr>
        <w:adjustRightInd w:val="0"/>
        <w:snapToGrid w:val="0"/>
        <w:spacing w:line="360" w:lineRule="auto"/>
        <w:jc w:val="left"/>
        <w:rPr>
          <w:rFonts w:ascii="Times New Roman" w:hAnsi="Times New Roman" w:cs="Times New Roman"/>
          <w:color w:val="808080" w:themeColor="background1" w:themeShade="80"/>
          <w:sz w:val="18"/>
          <w:szCs w:val="18"/>
        </w:rPr>
      </w:pPr>
      <w:r>
        <w:rPr>
          <w:rFonts w:ascii="Times New Roman" w:hAnsi="Times New Roman" w:eastAsia="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16 words. Titles are often used in information-retrieval systems. Avoid abbreviations and formulae where possible</w:t>
      </w:r>
      <w:r>
        <w:rPr>
          <w:rFonts w:ascii="Times New Roman" w:hAnsi="Times New Roman" w:cs="Times New Roman"/>
          <w:color w:val="808080" w:themeColor="background1" w:themeShade="80"/>
          <w:sz w:val="18"/>
          <w:szCs w:val="18"/>
        </w:rPr>
        <w:t>]</w:t>
      </w:r>
    </w:p>
    <w:p w14:paraId="4641565A">
      <w:pPr>
        <w:adjustRightInd w:val="0"/>
        <w:snapToGrid w:val="0"/>
        <w:spacing w:line="360" w:lineRule="auto"/>
        <w:jc w:val="left"/>
        <w:rPr>
          <w:rFonts w:ascii="Times New Roman" w:hAnsi="Times New Roman" w:cs="Times New Roman"/>
          <w:b/>
          <w:bCs/>
          <w:i/>
          <w:iCs/>
          <w:color w:val="808080" w:themeColor="background1" w:themeShade="80"/>
          <w:sz w:val="24"/>
        </w:rPr>
      </w:pPr>
    </w:p>
    <w:p w14:paraId="1B398F45">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23CE5C9E">
      <w:pPr>
        <w:adjustRightInd w:val="0"/>
        <w:snapToGrid w:val="0"/>
        <w:spacing w:line="360" w:lineRule="auto"/>
        <w:jc w:val="left"/>
        <w:rPr>
          <w:rFonts w:ascii="Times New Roman" w:hAnsi="Times New Roman" w:eastAsia="宋体" w:cs="Times New Roman"/>
          <w:b/>
          <w:bCs/>
          <w:color w:val="000000"/>
          <w:kern w:val="0"/>
          <w:sz w:val="24"/>
          <w:vertAlign w:val="superscript"/>
        </w:rPr>
      </w:pPr>
    </w:p>
    <w:p w14:paraId="0A39FBBF">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6D7B9245">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38A750A3">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112259C9">
      <w:pPr>
        <w:adjustRightInd w:val="0"/>
        <w:snapToGrid w:val="0"/>
        <w:spacing w:line="360" w:lineRule="auto"/>
        <w:jc w:val="left"/>
        <w:rPr>
          <w:rFonts w:ascii="Times New Roman" w:hAnsi="Times New Roman" w:eastAsia="Times New Roman" w:cs="Times New Roman"/>
          <w:iCs/>
          <w:color w:val="190F13"/>
          <w:sz w:val="24"/>
        </w:rPr>
      </w:pPr>
    </w:p>
    <w:p w14:paraId="3F8D9822">
      <w:pPr>
        <w:adjustRightInd w:val="0"/>
        <w:snapToGrid w:val="0"/>
        <w:spacing w:line="360" w:lineRule="auto"/>
        <w:jc w:val="left"/>
        <w:rPr>
          <w:rFonts w:ascii="Times New Roman" w:hAnsi="Times New Roman" w:cs="Times New Roman"/>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Style w:val="15"/>
          <w:rFonts w:ascii="Times New Roman" w:hAnsi="Times New Roman" w:eastAsia="宋体" w:cs="Times New Roman"/>
          <w:iCs/>
          <w:color w:val="190F13"/>
          <w:sz w:val="24"/>
        </w:rPr>
        <w:t>;</w:t>
      </w:r>
      <w:r>
        <w:rPr>
          <w:rFonts w:ascii="Times New Roman" w:hAnsi="Times New Roman" w:cs="Times New Roman"/>
          <w:sz w:val="24"/>
        </w:rPr>
        <w:t xml:space="preserve"> ORCID: xxxx</w:t>
      </w:r>
    </w:p>
    <w:p w14:paraId="4164AEF6">
      <w:pPr>
        <w:adjustRightInd w:val="0"/>
        <w:snapToGrid w:val="0"/>
        <w:spacing w:line="360" w:lineRule="auto"/>
        <w:jc w:val="left"/>
        <w:rPr>
          <w:rFonts w:ascii="Times New Roman" w:hAnsi="Times New Roman" w:cs="Times New Roman"/>
          <w:sz w:val="24"/>
        </w:rPr>
      </w:pPr>
    </w:p>
    <w:p w14:paraId="2E7DE932">
      <w:pPr>
        <w:adjustRightInd w:val="0"/>
        <w:snapToGrid w:val="0"/>
        <w:spacing w:line="360" w:lineRule="auto"/>
        <w:jc w:val="left"/>
        <w:rPr>
          <w:rFonts w:ascii="Times New Roman" w:hAnsi="Times New Roman" w:cs="Times New Roman"/>
          <w:iCs/>
          <w:color w:val="190F13"/>
          <w:sz w:val="24"/>
        </w:rPr>
      </w:pPr>
      <w:bookmarkStart w:id="0" w:name="OLE_LINK2"/>
      <w:r>
        <w:rPr>
          <w:rFonts w:ascii="Times New Roman" w:hAnsi="Times New Roman" w:eastAsia="Times New Roman" w:cs="Times New Roman"/>
          <w:b/>
          <w:bCs/>
          <w:iCs/>
          <w:color w:val="190F13"/>
          <w:sz w:val="24"/>
        </w:rPr>
        <w:t>Received</w:t>
      </w:r>
      <w:r>
        <w:rPr>
          <w:rFonts w:ascii="Times New Roman" w:hAnsi="Times New Roman" w:eastAsia="Times New Roman" w:cs="Times New Roman"/>
          <w:iCs/>
          <w:color w:val="190F13"/>
          <w:sz w:val="24"/>
        </w:rPr>
        <w:t>: date month year</w:t>
      </w:r>
    </w:p>
    <w:p w14:paraId="2F67E6D3">
      <w:pPr>
        <w:widowControl/>
        <w:adjustRightInd w:val="0"/>
        <w:snapToGrid w:val="0"/>
        <w:spacing w:line="360" w:lineRule="auto"/>
        <w:jc w:val="left"/>
        <w:rPr>
          <w:rFonts w:ascii="Times New Roman" w:hAnsi="Times New Roman" w:eastAsia="宋体" w:cs="Times New Roman"/>
          <w:color w:val="808080" w:themeColor="background1" w:themeShade="80"/>
          <w:kern w:val="0"/>
          <w:sz w:val="18"/>
          <w:szCs w:val="18"/>
        </w:rPr>
      </w:pPr>
      <w:r>
        <w:rPr>
          <w:rFonts w:ascii="Times New Roman" w:hAnsi="Times New Roman" w:cs="Times New Roman"/>
          <w:iCs/>
          <w:color w:val="808080" w:themeColor="background1" w:themeShade="80"/>
          <w:sz w:val="18"/>
          <w:szCs w:val="18"/>
        </w:rPr>
        <w:t>[</w:t>
      </w:r>
      <w:r>
        <w:rPr>
          <w:rFonts w:ascii="Times New Roman" w:hAnsi="Times New Roman" w:cs="Times New Roman"/>
          <w:color w:val="808080" w:themeColor="background1" w:themeShade="80"/>
          <w:sz w:val="18"/>
          <w:szCs w:val="18"/>
        </w:rPr>
        <w:t>e.g.,</w:t>
      </w:r>
      <w:r>
        <w:rPr>
          <w:rFonts w:ascii="Times New Roman" w:hAnsi="Times New Roman" w:cs="Times New Roman"/>
          <w:iCs/>
          <w:color w:val="808080" w:themeColor="background1" w:themeShade="80"/>
          <w:sz w:val="18"/>
          <w:szCs w:val="18"/>
        </w:rPr>
        <w:t xml:space="preserve"> </w:t>
      </w:r>
      <w:r>
        <w:rPr>
          <w:rFonts w:ascii="Times New Roman" w:hAnsi="Times New Roman" w:eastAsia="宋体" w:cs="Times New Roman"/>
          <w:iCs/>
          <w:color w:val="808080" w:themeColor="background1" w:themeShade="80"/>
          <w:kern w:val="0"/>
          <w:sz w:val="18"/>
          <w:szCs w:val="18"/>
        </w:rPr>
        <w:t>1 Jan 2021</w:t>
      </w:r>
      <w:r>
        <w:rPr>
          <w:rFonts w:ascii="Times New Roman" w:hAnsi="Times New Roman" w:eastAsia="宋体" w:cs="Times New Roman"/>
          <w:color w:val="808080" w:themeColor="background1" w:themeShade="80"/>
          <w:kern w:val="0"/>
          <w:sz w:val="18"/>
          <w:szCs w:val="18"/>
        </w:rPr>
        <w:t>]</w:t>
      </w:r>
    </w:p>
    <w:p w14:paraId="1F1518AD">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24"/>
        </w:rPr>
      </w:pPr>
    </w:p>
    <w:bookmarkEnd w:id="0"/>
    <w:p w14:paraId="400F0751">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1B988006">
      <w:pPr>
        <w:adjustRightInd w:val="0"/>
        <w:snapToGrid w:val="0"/>
        <w:spacing w:line="360" w:lineRule="auto"/>
        <w:jc w:val="left"/>
        <w:rPr>
          <w:rFonts w:ascii="Times New Roman" w:hAnsi="Times New Roman" w:cs="Times New Roman"/>
          <w:b/>
          <w:bCs/>
          <w:i/>
          <w:color w:val="808080" w:themeColor="background1" w:themeShade="80"/>
          <w:sz w:val="18"/>
          <w:szCs w:val="18"/>
        </w:rPr>
      </w:pPr>
      <w:r>
        <w:rPr>
          <w:rFonts w:ascii="Times New Roman" w:hAnsi="Times New Roman" w:cs="Times New Roman"/>
          <w:b/>
          <w:bCs/>
          <w:i/>
          <w:color w:val="808080" w:themeColor="background1" w:themeShade="80"/>
          <w:sz w:val="18"/>
          <w:szCs w:val="18"/>
        </w:rPr>
        <w:t xml:space="preserve">This template shows the manuscript structure that can be used in an Article: Abstract, Keywords, Introduction, Experimental, Results and discussion, Conclusions, Declarations and References. Please note that each part has a corresponding style, which authors should follow. </w:t>
      </w:r>
      <w:r>
        <w:rPr>
          <w:rFonts w:ascii="Times New Roman" w:hAnsi="Times New Roman" w:eastAsia="宋体" w:cs="Times New Roman"/>
          <w:b/>
          <w:bCs/>
          <w:i/>
          <w:snapToGrid w:val="0"/>
          <w:color w:val="808080" w:themeColor="background1" w:themeShade="80"/>
          <w:kern w:val="0"/>
          <w:sz w:val="18"/>
          <w:szCs w:val="18"/>
          <w:lang w:bidi="en-US"/>
        </w:rPr>
        <w:t>Please n</w:t>
      </w:r>
      <w:r>
        <w:rPr>
          <w:rFonts w:ascii="Times New Roman" w:hAnsi="Times New Roman" w:eastAsia="Times New Roman" w:cs="Times New Roman"/>
          <w:b/>
          <w:bCs/>
          <w:i/>
          <w:snapToGrid w:val="0"/>
          <w:color w:val="808080" w:themeColor="background1" w:themeShade="80"/>
          <w:kern w:val="0"/>
          <w:sz w:val="18"/>
          <w:szCs w:val="18"/>
          <w:lang w:bidi="en-US"/>
        </w:rPr>
        <w:t xml:space="preserve">ote that the fonts in gray show writing requirements. </w:t>
      </w:r>
      <w:r>
        <w:rPr>
          <w:rFonts w:ascii="Times New Roman" w:hAnsi="Times New Roman" w:cs="Times New Roman"/>
          <w:b/>
          <w:bCs/>
          <w:i/>
          <w:color w:val="808080" w:themeColor="background1" w:themeShade="80"/>
          <w:sz w:val="18"/>
          <w:szCs w:val="18"/>
        </w:rPr>
        <w:t xml:space="preserve">For any questions, you may contact the </w:t>
      </w:r>
      <w:r>
        <w:fldChar w:fldCharType="begin"/>
      </w:r>
      <w:r>
        <w:instrText xml:space="preserve"> HYPERLINK "mailto:editorial@energymaterj.com" </w:instrText>
      </w:r>
      <w:r>
        <w:fldChar w:fldCharType="separate"/>
      </w:r>
      <w:r>
        <w:rPr>
          <w:rStyle w:val="13"/>
          <w:rFonts w:ascii="Times New Roman" w:hAnsi="Times New Roman" w:cs="Times New Roman"/>
          <w:b/>
          <w:bCs/>
          <w:i/>
          <w:color w:val="808080" w:themeColor="background1" w:themeShade="80"/>
          <w:sz w:val="18"/>
          <w:szCs w:val="18"/>
        </w:rPr>
        <w:t>editorial office</w:t>
      </w:r>
      <w:r>
        <w:rPr>
          <w:rStyle w:val="15"/>
          <w:rFonts w:ascii="Times New Roman" w:hAnsi="Times New Roman" w:cs="Times New Roman"/>
          <w:b/>
          <w:bCs/>
          <w:i/>
          <w:color w:val="808080" w:themeColor="background1" w:themeShade="80"/>
          <w:sz w:val="18"/>
          <w:szCs w:val="18"/>
        </w:rPr>
        <w:fldChar w:fldCharType="end"/>
      </w:r>
      <w:r>
        <w:rPr>
          <w:rFonts w:ascii="Times New Roman" w:hAnsi="Times New Roman" w:cs="Times New Roman"/>
          <w:b/>
          <w:bCs/>
          <w:i/>
          <w:color w:val="808080" w:themeColor="background1" w:themeShade="80"/>
          <w:sz w:val="18"/>
          <w:szCs w:val="18"/>
        </w:rPr>
        <w:t>.</w:t>
      </w:r>
    </w:p>
    <w:p w14:paraId="12298557">
      <w:pPr>
        <w:adjustRightInd w:val="0"/>
        <w:snapToGrid w:val="0"/>
        <w:spacing w:line="360" w:lineRule="auto"/>
        <w:jc w:val="left"/>
        <w:rPr>
          <w:rFonts w:ascii="Times New Roman" w:hAnsi="Times New Roman" w:eastAsia="Times New Roman" w:cs="Times New Roman"/>
          <w:iCs/>
          <w:color w:val="808080" w:themeColor="background1" w:themeShade="80"/>
          <w:sz w:val="24"/>
        </w:rPr>
      </w:pPr>
    </w:p>
    <w:p w14:paraId="4474389A">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Abstract</w:t>
      </w:r>
    </w:p>
    <w:p w14:paraId="39AC3E4B">
      <w:pPr>
        <w:adjustRightInd w:val="0"/>
        <w:snapToGrid w:val="0"/>
        <w:spacing w:line="360" w:lineRule="auto"/>
        <w:jc w:val="left"/>
        <w:rPr>
          <w:rFonts w:ascii="Times New Roman" w:hAnsi="Times New Roman" w:cs="Times New Roman"/>
          <w:i/>
          <w:iCs/>
          <w:color w:val="808080" w:themeColor="background1" w:themeShade="80"/>
          <w:sz w:val="18"/>
          <w:szCs w:val="18"/>
        </w:rPr>
      </w:pPr>
      <w:r>
        <w:rPr>
          <w:rFonts w:ascii="Times New Roman" w:hAnsi="Times New Roman" w:eastAsia="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250 words. No citations. Define abbreviations at their first mention.</w:t>
      </w:r>
      <w:r>
        <w:rPr>
          <w:rFonts w:ascii="Times New Roman" w:hAnsi="Times New Roman" w:cs="Times New Roman"/>
          <w:color w:val="808080" w:themeColor="background1" w:themeShade="80"/>
          <w:sz w:val="18"/>
          <w:szCs w:val="18"/>
        </w:rPr>
        <w:t>]</w:t>
      </w:r>
    </w:p>
    <w:p w14:paraId="3CAFC1B6">
      <w:pPr>
        <w:spacing w:line="360" w:lineRule="auto"/>
        <w:jc w:val="left"/>
        <w:rPr>
          <w:rFonts w:ascii="Times New Roman" w:hAnsi="Times New Roman" w:eastAsia="宋体" w:cs="Times New Roman"/>
          <w:iCs/>
          <w:sz w:val="24"/>
        </w:rPr>
      </w:pPr>
      <w:bookmarkStart w:id="1" w:name="OLE_LINK3"/>
      <w:r>
        <w:rPr>
          <w:rFonts w:ascii="Times New Roman" w:hAnsi="Times New Roman" w:eastAsia="宋体" w:cs="Times New Roman"/>
          <w:iCs/>
          <w:sz w:val="24"/>
        </w:rPr>
        <w:t xml:space="preserve">Abstract is a brief summary of an article, which helps the readers quickly ascertain the paper’s main content. In this part, authors may mention writing purpose, experimental methods, results and their significance in this research field, </w:t>
      </w:r>
      <w:r>
        <w:rPr>
          <w:rFonts w:ascii="Times New Roman" w:hAnsi="Times New Roman" w:eastAsia="宋体" w:cs="Times New Roman"/>
          <w:i/>
          <w:sz w:val="24"/>
        </w:rPr>
        <w:t>etc</w:t>
      </w:r>
      <w:r>
        <w:rPr>
          <w:rFonts w:ascii="Times New Roman" w:hAnsi="Times New Roman" w:eastAsia="宋体" w:cs="Times New Roman"/>
          <w:iCs/>
          <w:sz w:val="24"/>
        </w:rPr>
        <w:t>.</w:t>
      </w:r>
    </w:p>
    <w:p w14:paraId="43D0D686">
      <w:pPr>
        <w:spacing w:line="360" w:lineRule="auto"/>
        <w:jc w:val="left"/>
        <w:rPr>
          <w:rFonts w:ascii="Times New Roman" w:hAnsi="Times New Roman" w:cs="Times New Roman"/>
          <w:b/>
          <w:bCs/>
          <w:i/>
          <w:color w:val="808080" w:themeColor="background1" w:themeShade="80"/>
          <w:sz w:val="24"/>
        </w:rPr>
      </w:pPr>
    </w:p>
    <w:p w14:paraId="74C40971">
      <w:pPr>
        <w:adjustRightInd w:val="0"/>
        <w:snapToGrid w:val="0"/>
        <w:spacing w:line="360" w:lineRule="auto"/>
        <w:jc w:val="left"/>
        <w:rPr>
          <w:rFonts w:ascii="Times New Roman" w:hAnsi="Times New Roman" w:cs="Times New Roman"/>
          <w:sz w:val="24"/>
        </w:rPr>
      </w:pPr>
      <w:r>
        <w:rPr>
          <w:rFonts w:ascii="Times New Roman" w:hAnsi="Times New Roman" w:eastAsia="Times New Roman" w:cs="Times New Roman"/>
          <w:b/>
          <w:bCs/>
          <w:iCs/>
          <w:color w:val="190F13"/>
          <w:sz w:val="24"/>
        </w:rPr>
        <w:t>Keywords:</w:t>
      </w:r>
      <w:r>
        <w:rPr>
          <w:rFonts w:ascii="Times New Roman" w:hAnsi="Times New Roman" w:cs="Times New Roman"/>
          <w:sz w:val="24"/>
        </w:rPr>
        <w:t xml:space="preserve"> </w:t>
      </w:r>
      <w:bookmarkStart w:id="2" w:name="_Hlk59626732"/>
      <w:r>
        <w:rPr>
          <w:rFonts w:ascii="Times New Roman" w:hAnsi="Times New Roman" w:cs="Times New Roman"/>
          <w:sz w:val="24"/>
        </w:rPr>
        <w:t>Chemical compounds, natural products, polymers, catalysis, high performance liquid chromatography</w:t>
      </w:r>
      <w:bookmarkEnd w:id="2"/>
    </w:p>
    <w:p w14:paraId="1FAB196E">
      <w:pPr>
        <w:adjustRightInd w:val="0"/>
        <w:snapToGrid w:val="0"/>
        <w:spacing w:line="360" w:lineRule="auto"/>
        <w:jc w:val="left"/>
        <w:rPr>
          <w:rFonts w:ascii="Times New Roman" w:hAnsi="Times New Roman" w:cs="Times New Roman"/>
          <w:b/>
          <w:bCs/>
          <w:iCs/>
          <w:color w:val="808080" w:themeColor="background1" w:themeShade="80"/>
          <w:sz w:val="18"/>
          <w:szCs w:val="18"/>
        </w:rPr>
      </w:pPr>
      <w:r>
        <w:rPr>
          <w:rFonts w:ascii="Times New Roman" w:hAnsi="Times New Roman" w:cs="Times New Roman"/>
          <w:b/>
          <w:bCs/>
          <w:iCs/>
          <w:color w:val="808080" w:themeColor="background1" w:themeShade="80"/>
          <w:sz w:val="18"/>
          <w:szCs w:val="18"/>
        </w:rPr>
        <w:t>[</w:t>
      </w:r>
      <w:r>
        <w:rPr>
          <w:rFonts w:ascii="Times New Roman" w:hAnsi="Times New Roman" w:cs="Times New Roman"/>
          <w:b/>
          <w:bCs/>
          <w:i/>
          <w:iCs/>
          <w:color w:val="808080" w:themeColor="background1" w:themeShade="80"/>
          <w:sz w:val="18"/>
          <w:szCs w:val="18"/>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18"/>
          <w:szCs w:val="18"/>
        </w:rPr>
        <w:t>]</w:t>
      </w:r>
    </w:p>
    <w:p w14:paraId="12A8880D">
      <w:pPr>
        <w:adjustRightInd w:val="0"/>
        <w:snapToGrid w:val="0"/>
        <w:spacing w:line="360" w:lineRule="auto"/>
        <w:jc w:val="left"/>
        <w:rPr>
          <w:rFonts w:ascii="Times New Roman" w:hAnsi="Times New Roman" w:eastAsia="Times New Roman" w:cs="Times New Roman"/>
          <w:i/>
          <w:color w:val="190F13"/>
          <w:sz w:val="24"/>
        </w:rPr>
      </w:pPr>
    </w:p>
    <w:bookmarkEnd w:id="1"/>
    <w:p w14:paraId="01FB61AA">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INTRODUCTION</w:t>
      </w:r>
    </w:p>
    <w:p w14:paraId="23DE5BED">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The introduction is a beginning section of a manuscript which states the purpose of the study, overviews or summarizes previous findings and progress related to this study, and indicates its significance in this research field. It is generally followed by the body and discussion.</w:t>
      </w:r>
    </w:p>
    <w:p w14:paraId="7C2A9A37">
      <w:pPr>
        <w:adjustRightInd w:val="0"/>
        <w:snapToGrid w:val="0"/>
        <w:spacing w:line="360" w:lineRule="auto"/>
        <w:jc w:val="left"/>
        <w:rPr>
          <w:rFonts w:ascii="Times New Roman" w:hAnsi="Times New Roman" w:cs="Times New Roman"/>
          <w:sz w:val="24"/>
        </w:rPr>
      </w:pPr>
    </w:p>
    <w:p w14:paraId="4FCAE551">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EXPERIMENTAL</w:t>
      </w:r>
    </w:p>
    <w:p w14:paraId="5C1F57DE">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we suggest that authors may set headings and provide all the details of how you conducted your study and what you did for it. In detail, it may contain description of participants selection, materials, software, experimental apparatus (state the manufacturer’s name and address in parentheses), experiment object, methods, procedures, technical information, necessary statistics, </w:t>
      </w:r>
      <w:r>
        <w:rPr>
          <w:rFonts w:ascii="Times New Roman" w:hAnsi="Times New Roman" w:cs="Times New Roman"/>
          <w:i/>
          <w:iCs/>
          <w:sz w:val="24"/>
        </w:rPr>
        <w:t>etc</w:t>
      </w:r>
      <w:r>
        <w:rPr>
          <w:rFonts w:ascii="Times New Roman" w:hAnsi="Times New Roman" w:cs="Times New Roman"/>
          <w:sz w:val="24"/>
        </w:rPr>
        <w:t>. All the information should be given in sufficient detail so that other scholars are able to reproduce the results.</w:t>
      </w:r>
    </w:p>
    <w:p w14:paraId="7314E7D5">
      <w:pPr>
        <w:adjustRightInd w:val="0"/>
        <w:snapToGrid w:val="0"/>
        <w:spacing w:line="360" w:lineRule="auto"/>
        <w:jc w:val="left"/>
        <w:rPr>
          <w:rFonts w:ascii="Times New Roman" w:hAnsi="Times New Roman" w:cs="Times New Roman"/>
          <w:sz w:val="24"/>
        </w:rPr>
      </w:pPr>
    </w:p>
    <w:p w14:paraId="397AD057">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4948A1AC">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79E7A04A">
      <w:pPr>
        <w:widowControl/>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45FD3032">
      <w:pPr>
        <w:widowControl/>
        <w:numPr>
          <w:ilvl w:val="0"/>
          <w:numId w:val="1"/>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All drugs and chemicals used, including generic name(s), dose(s), and route(s) of administration, should be identified precisely;</w:t>
      </w:r>
    </w:p>
    <w:p w14:paraId="1D2EBB91">
      <w:pPr>
        <w:widowControl/>
        <w:numPr>
          <w:ilvl w:val="0"/>
          <w:numId w:val="1"/>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When reporting studies on human beings or animals, authors should strictly follow the Helsinki Declaration (available at </w:t>
      </w:r>
      <w:r>
        <w:fldChar w:fldCharType="begin"/>
      </w:r>
      <w:r>
        <w:instrText xml:space="preserve"> HYPERLINK "http://www.wma.net/en/30publications/10policies/b3/" </w:instrText>
      </w:r>
      <w:r>
        <w:fldChar w:fldCharType="separate"/>
      </w:r>
      <w:r>
        <w:rPr>
          <w:rStyle w:val="13"/>
          <w:rFonts w:ascii="Times New Roman" w:hAnsi="Times New Roman" w:cs="Times New Roman"/>
          <w:b/>
          <w:bCs/>
          <w:i/>
          <w:iCs/>
          <w:color w:val="808080" w:themeColor="background1" w:themeShade="80"/>
          <w:sz w:val="18"/>
          <w:szCs w:val="18"/>
        </w:rPr>
        <w:t>http://www.wma.net/en/30publications/10policies/b3/</w:t>
      </w:r>
      <w:r>
        <w:rPr>
          <w:rStyle w:val="15"/>
          <w:rFonts w:ascii="Times New Roman" w:hAnsi="Times New Roman" w:cs="Times New Roman"/>
          <w:b/>
          <w:bCs/>
          <w:i/>
          <w:iCs/>
          <w:color w:val="808080" w:themeColor="background1" w:themeShade="80"/>
          <w:sz w:val="18"/>
          <w:szCs w:val="18"/>
        </w:rPr>
        <w:fldChar w:fldCharType="end"/>
      </w:r>
      <w:r>
        <w:rPr>
          <w:rFonts w:ascii="Times New Roman" w:hAnsi="Times New Roman" w:cs="Times New Roman"/>
          <w:b/>
          <w:bCs/>
          <w:i/>
          <w:iCs/>
          <w:color w:val="808080" w:themeColor="background1" w:themeShade="80"/>
          <w:sz w:val="18"/>
          <w:szCs w:val="18"/>
        </w:rPr>
        <w:t>) and other related publishing ethical standards.</w:t>
      </w:r>
    </w:p>
    <w:p w14:paraId="3BF0BEFB">
      <w:pPr>
        <w:widowControl/>
        <w:adjustRightInd w:val="0"/>
        <w:snapToGrid w:val="0"/>
        <w:spacing w:line="360" w:lineRule="auto"/>
        <w:jc w:val="left"/>
        <w:rPr>
          <w:rFonts w:ascii="Times New Roman" w:hAnsi="Times New Roman" w:cs="Times New Roman"/>
          <w:b/>
          <w:bCs/>
          <w:i/>
          <w:iCs/>
          <w:color w:val="808080" w:themeColor="background1" w:themeShade="80"/>
          <w:sz w:val="24"/>
        </w:rPr>
      </w:pPr>
    </w:p>
    <w:p w14:paraId="24DE7581">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RESULTS AND DISCUSSION</w:t>
      </w:r>
    </w:p>
    <w:p w14:paraId="054EA8D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This section shows the main findings of your study. It may contain conclusive description, analysis, and comparison with other related research results, </w:t>
      </w:r>
      <w:r>
        <w:rPr>
          <w:rFonts w:ascii="Times New Roman" w:hAnsi="Times New Roman" w:cs="Times New Roman"/>
          <w:i/>
          <w:iCs/>
          <w:sz w:val="24"/>
        </w:rPr>
        <w:t>etc</w:t>
      </w:r>
      <w:r>
        <w:rPr>
          <w:rFonts w:ascii="Times New Roman" w:hAnsi="Times New Roman" w:cs="Times New Roman"/>
          <w:sz w:val="24"/>
        </w:rPr>
        <w:t xml:space="preserve">. Authors may set headings to separate the results of different experiments in this section. </w:t>
      </w: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w:t>
      </w:r>
      <w:r>
        <w:rPr>
          <w:rFonts w:ascii="Times New Roman" w:hAnsi="Times New Roman" w:cs="Times New Roman"/>
          <w:w w:val="101"/>
          <w:sz w:val="24"/>
        </w:rPr>
        <w:t xml:space="preserve">[other forms: Equations (2) and (3); Equations (4-6)] and </w:t>
      </w:r>
      <w:r>
        <w:rPr>
          <w:rFonts w:ascii="Times New Roman" w:hAnsi="Times New Roman" w:cs="Times New Roman"/>
          <w:b/>
          <w:bCs/>
          <w:w w:val="101"/>
          <w:sz w:val="24"/>
        </w:rPr>
        <w:t>Figure 1</w:t>
      </w:r>
      <w:r>
        <w:rPr>
          <w:rFonts w:ascii="Times New Roman" w:hAnsi="Times New Roman" w:cs="Times New Roman"/>
          <w:w w:val="101"/>
          <w:sz w:val="24"/>
        </w:rPr>
        <w:t xml:space="preserve"> (other forms: Figure 1A and B; Figure </w:t>
      </w:r>
      <w:r>
        <w:rPr>
          <w:rFonts w:ascii="Times New Roman" w:hAnsi="Times New Roman" w:cs="Times New Roman"/>
          <w:sz w:val="24"/>
        </w:rPr>
        <w:t xml:space="preserve">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sz w:val="24"/>
        </w:rPr>
        <w:fldChar w:fldCharType="begin"/>
      </w:r>
      <w:r>
        <w:rPr>
          <w:rFonts w:ascii="Times New Roman" w:hAnsi="Times New Roman" w:cs="Times New Roman"/>
          <w:sz w:val="24"/>
        </w:rPr>
        <w:instrText xml:space="preserve"> HYPERLINK "Template_for_Supplementary_Material.docx" </w:instrText>
      </w:r>
      <w:r>
        <w:rPr>
          <w:rFonts w:ascii="Times New Roman" w:hAnsi="Times New Roman" w:cs="Times New Roman"/>
          <w:sz w:val="24"/>
        </w:rPr>
        <w:fldChar w:fldCharType="separate"/>
      </w:r>
      <w:r>
        <w:rPr>
          <w:rStyle w:val="13"/>
          <w:rFonts w:ascii="Times New Roman" w:hAnsi="Times New Roman" w:cs="Times New Roman"/>
          <w:sz w:val="24"/>
        </w:rPr>
        <w:t>Supplementary Material Template</w:t>
      </w:r>
      <w:r>
        <w:rPr>
          <w:rFonts w:ascii="Times New Roman" w:hAnsi="Times New Roman" w:cs="Times New Roman"/>
          <w:sz w:val="24"/>
        </w:rPr>
        <w:fldChar w:fldCharType="end"/>
      </w:r>
      <w:r>
        <w:rPr>
          <w:rFonts w:ascii="Times New Roman" w:hAnsi="Times New Roman" w:cs="Times New Roman"/>
          <w:sz w:val="24"/>
        </w:rPr>
        <w:t>.</w:t>
      </w:r>
    </w:p>
    <w:p w14:paraId="35AEE9F6">
      <w:pPr>
        <w:widowControl/>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12525744">
      <w:pPr>
        <w:numPr>
          <w:ilvl w:val="0"/>
          <w:numId w:val="1"/>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Results should be presented in a logical sequence;</w:t>
      </w:r>
    </w:p>
    <w:p w14:paraId="7BEA7775">
      <w:pPr>
        <w:numPr>
          <w:ilvl w:val="0"/>
          <w:numId w:val="1"/>
        </w:numPr>
        <w:adjustRightInd w:val="0"/>
        <w:snapToGrid w:val="0"/>
        <w:spacing w:after="156" w:afterLines="50"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Avoid redundant explanations to all the data from the tables or illustrations.</w:t>
      </w:r>
    </w:p>
    <w:p w14:paraId="08E475CC">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p>
    <w:p w14:paraId="6CF5C6B3">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17"/>
        <w:tblW w:w="838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63"/>
        <w:gridCol w:w="1003"/>
        <w:gridCol w:w="788"/>
        <w:gridCol w:w="905"/>
        <w:gridCol w:w="950"/>
        <w:gridCol w:w="1830"/>
        <w:gridCol w:w="1441"/>
      </w:tblGrid>
      <w:tr w14:paraId="5B50E665">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jc w:val="center"/>
        </w:trPr>
        <w:tc>
          <w:tcPr>
            <w:tcW w:w="1463" w:type="dxa"/>
            <w:tcBorders>
              <w:top w:val="single" w:color="auto" w:sz="8" w:space="0"/>
              <w:left w:val="nil"/>
              <w:bottom w:val="single" w:color="auto" w:sz="4" w:space="0"/>
              <w:right w:val="nil"/>
              <w:insideH w:val="single" w:sz="4" w:space="0"/>
              <w:insideV w:val="nil"/>
              <w:tl2br w:val="nil"/>
              <w:tr2bl w:val="nil"/>
            </w:tcBorders>
            <w:vAlign w:val="center"/>
          </w:tcPr>
          <w:p w14:paraId="2BD4C354">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Authors</w:t>
            </w:r>
          </w:p>
        </w:tc>
        <w:tc>
          <w:tcPr>
            <w:tcW w:w="1003" w:type="dxa"/>
            <w:tcBorders>
              <w:top w:val="single" w:color="auto" w:sz="8" w:space="0"/>
              <w:bottom w:val="single" w:color="auto" w:sz="4" w:space="0"/>
              <w:right w:val="nil"/>
              <w:insideH w:val="single" w:sz="4" w:space="0"/>
              <w:insideV w:val="nil"/>
              <w:tl2br w:val="nil"/>
              <w:tr2bl w:val="nil"/>
            </w:tcBorders>
            <w:vAlign w:val="center"/>
          </w:tcPr>
          <w:p w14:paraId="1C564290">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napToGrid w:val="0"/>
                <w:sz w:val="24"/>
                <w:lang w:val="de-DE" w:eastAsia="zh-CN"/>
              </w:rPr>
            </w:pPr>
            <w:r>
              <w:rPr>
                <w:rFonts w:ascii="Times New Roman" w:hAnsi="Times New Roman" w:eastAsia="宋体" w:cs="Times New Roman"/>
                <w:b/>
                <w:i w:val="0"/>
                <w:snapToGrid w:val="0"/>
                <w:sz w:val="24"/>
                <w:lang w:val="de-DE" w:eastAsia="zh-CN"/>
              </w:rPr>
              <w:t>Regimen</w:t>
            </w:r>
          </w:p>
        </w:tc>
        <w:tc>
          <w:tcPr>
            <w:tcW w:w="788" w:type="dxa"/>
            <w:tcBorders>
              <w:top w:val="single" w:color="auto" w:sz="8" w:space="0"/>
              <w:bottom w:val="single" w:color="auto" w:sz="4" w:space="0"/>
              <w:right w:val="nil"/>
              <w:insideH w:val="single" w:sz="4" w:space="0"/>
              <w:insideV w:val="nil"/>
              <w:tl2br w:val="nil"/>
              <w:tr2bl w:val="nil"/>
            </w:tcBorders>
            <w:vAlign w:val="center"/>
          </w:tcPr>
          <w:p w14:paraId="34444802">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de-DE"/>
              </w:rPr>
            </w:pPr>
            <w:r>
              <w:rPr>
                <w:rFonts w:ascii="Times New Roman" w:hAnsi="Times New Roman" w:cs="Times New Roman"/>
                <w:b/>
                <w:i/>
                <w:iCs/>
                <w:snapToGrid w:val="0"/>
                <w:sz w:val="24"/>
                <w:lang w:val="de-DE" w:eastAsia="zh-CN"/>
              </w:rPr>
              <w:t>n</w:t>
            </w:r>
          </w:p>
        </w:tc>
        <w:tc>
          <w:tcPr>
            <w:tcW w:w="905" w:type="dxa"/>
            <w:tcBorders>
              <w:top w:val="single" w:color="auto" w:sz="8" w:space="0"/>
              <w:bottom w:val="single" w:color="auto" w:sz="4" w:space="0"/>
              <w:right w:val="nil"/>
              <w:insideH w:val="single" w:sz="4" w:space="0"/>
              <w:insideV w:val="nil"/>
              <w:tl2br w:val="nil"/>
              <w:tr2bl w:val="nil"/>
            </w:tcBorders>
            <w:vAlign w:val="center"/>
          </w:tcPr>
          <w:p w14:paraId="3A8B4952">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Age (year)</w:t>
            </w:r>
          </w:p>
        </w:tc>
        <w:tc>
          <w:tcPr>
            <w:tcW w:w="950" w:type="dxa"/>
            <w:tcBorders>
              <w:top w:val="single" w:color="auto" w:sz="8" w:space="0"/>
              <w:bottom w:val="single" w:color="auto" w:sz="4" w:space="0"/>
              <w:right w:val="nil"/>
              <w:insideH w:val="single" w:sz="4" w:space="0"/>
              <w:insideV w:val="nil"/>
              <w:tl2br w:val="nil"/>
              <w:tr2bl w:val="nil"/>
            </w:tcBorders>
            <w:vAlign w:val="center"/>
          </w:tcPr>
          <w:p w14:paraId="0C88AB67">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CR (%)</w:t>
            </w:r>
          </w:p>
        </w:tc>
        <w:tc>
          <w:tcPr>
            <w:tcW w:w="1830" w:type="dxa"/>
            <w:tcBorders>
              <w:top w:val="single" w:color="auto" w:sz="8" w:space="0"/>
              <w:bottom w:val="single" w:color="auto" w:sz="4" w:space="0"/>
              <w:right w:val="nil"/>
              <w:insideH w:val="single" w:sz="4" w:space="0"/>
              <w:insideV w:val="nil"/>
              <w:tl2br w:val="nil"/>
              <w:tr2bl w:val="nil"/>
            </w:tcBorders>
            <w:vAlign w:val="center"/>
          </w:tcPr>
          <w:p w14:paraId="7224555F">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EFS/PFS (%)</w:t>
            </w:r>
          </w:p>
        </w:tc>
        <w:tc>
          <w:tcPr>
            <w:tcW w:w="1441" w:type="dxa"/>
            <w:tcBorders>
              <w:top w:val="single" w:color="auto" w:sz="8" w:space="0"/>
              <w:bottom w:val="single" w:color="auto" w:sz="4" w:space="0"/>
              <w:right w:val="nil"/>
              <w:insideH w:val="single" w:sz="4" w:space="0"/>
              <w:insideV w:val="nil"/>
              <w:tl2br w:val="nil"/>
              <w:tr2bl w:val="nil"/>
            </w:tcBorders>
            <w:vAlign w:val="center"/>
          </w:tcPr>
          <w:p w14:paraId="76EC1E3C">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OS (%)</w:t>
            </w:r>
          </w:p>
        </w:tc>
      </w:tr>
      <w:tr w14:paraId="36F68EF4">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463" w:type="dxa"/>
            <w:vAlign w:val="center"/>
          </w:tcPr>
          <w:p w14:paraId="49A3A19C">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Our current study</w:t>
            </w:r>
          </w:p>
        </w:tc>
        <w:tc>
          <w:tcPr>
            <w:tcW w:w="1003" w:type="dxa"/>
            <w:vAlign w:val="center"/>
          </w:tcPr>
          <w:p w14:paraId="257BAD3F">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CVP</w:t>
            </w:r>
          </w:p>
        </w:tc>
        <w:tc>
          <w:tcPr>
            <w:tcW w:w="788" w:type="dxa"/>
            <w:vAlign w:val="center"/>
          </w:tcPr>
          <w:p w14:paraId="14B21FFB">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251</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67</w:t>
            </w:r>
          </w:p>
        </w:tc>
        <w:tc>
          <w:tcPr>
            <w:tcW w:w="905" w:type="dxa"/>
            <w:vAlign w:val="center"/>
          </w:tcPr>
          <w:p w14:paraId="1081AEB6">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17-82</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45-87</w:t>
            </w:r>
          </w:p>
        </w:tc>
        <w:tc>
          <w:tcPr>
            <w:tcW w:w="950" w:type="dxa"/>
            <w:vAlign w:val="center"/>
          </w:tcPr>
          <w:p w14:paraId="5A183D61">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69.8</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29.9</w:t>
            </w:r>
            <w:r>
              <w:rPr>
                <w:rFonts w:ascii="Times New Roman" w:hAnsi="Times New Roman" w:cs="Times New Roman"/>
                <w:sz w:val="24"/>
                <w:vertAlign w:val="superscript"/>
                <w:lang w:val="de-DE" w:eastAsia="zh-CN"/>
              </w:rPr>
              <w:t>*</w:t>
            </w:r>
          </w:p>
        </w:tc>
        <w:tc>
          <w:tcPr>
            <w:tcW w:w="1830" w:type="dxa"/>
            <w:vAlign w:val="center"/>
          </w:tcPr>
          <w:p w14:paraId="6EF79418">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55.3 (46.0)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18.0 (12.0)</w:t>
            </w:r>
            <w:r>
              <w:rPr>
                <w:rFonts w:ascii="Times New Roman" w:hAnsi="Times New Roman" w:cs="Times New Roman"/>
                <w:sz w:val="24"/>
                <w:vertAlign w:val="superscript"/>
                <w:lang w:val="de-DE" w:eastAsia="zh-CN"/>
              </w:rPr>
              <w:t>*</w:t>
            </w:r>
          </w:p>
        </w:tc>
        <w:tc>
          <w:tcPr>
            <w:tcW w:w="1441" w:type="dxa"/>
            <w:vAlign w:val="center"/>
          </w:tcPr>
          <w:p w14:paraId="2AF93F1A">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58.0 (52.0)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25.0 (19.0)</w:t>
            </w:r>
            <w:r>
              <w:rPr>
                <w:rFonts w:ascii="Times New Roman" w:hAnsi="Times New Roman" w:cs="Times New Roman"/>
                <w:sz w:val="24"/>
                <w:vertAlign w:val="superscript"/>
                <w:lang w:val="de-DE" w:eastAsia="zh-CN"/>
              </w:rPr>
              <w:t>*</w:t>
            </w:r>
          </w:p>
        </w:tc>
      </w:tr>
      <w:tr w14:paraId="5D63D36F">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1" w:hRule="atLeast"/>
          <w:jc w:val="center"/>
        </w:trPr>
        <w:tc>
          <w:tcPr>
            <w:tcW w:w="1463" w:type="dxa"/>
            <w:vAlign w:val="center"/>
          </w:tcPr>
          <w:p w14:paraId="2BD6FD8F">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 xml:space="preserve">Khaled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[1]</w:t>
            </w:r>
          </w:p>
        </w:tc>
        <w:tc>
          <w:tcPr>
            <w:tcW w:w="1003" w:type="dxa"/>
            <w:vAlign w:val="center"/>
          </w:tcPr>
          <w:p w14:paraId="71CA2565">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CHOP</w:t>
            </w:r>
          </w:p>
        </w:tc>
        <w:tc>
          <w:tcPr>
            <w:tcW w:w="788" w:type="dxa"/>
            <w:vAlign w:val="center"/>
          </w:tcPr>
          <w:p w14:paraId="73099AB6">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40</w:t>
            </w:r>
          </w:p>
        </w:tc>
        <w:tc>
          <w:tcPr>
            <w:tcW w:w="905" w:type="dxa"/>
            <w:vAlign w:val="center"/>
          </w:tcPr>
          <w:p w14:paraId="52811E3E">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19-75</w:t>
            </w:r>
          </w:p>
        </w:tc>
        <w:tc>
          <w:tcPr>
            <w:tcW w:w="950" w:type="dxa"/>
            <w:vAlign w:val="center"/>
          </w:tcPr>
          <w:p w14:paraId="3E72208B">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67</w:t>
            </w:r>
          </w:p>
        </w:tc>
        <w:tc>
          <w:tcPr>
            <w:tcW w:w="1830" w:type="dxa"/>
            <w:vAlign w:val="center"/>
          </w:tcPr>
          <w:p w14:paraId="3B573D2D">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54 (54)</w:t>
            </w:r>
          </w:p>
        </w:tc>
        <w:tc>
          <w:tcPr>
            <w:tcW w:w="1441" w:type="dxa"/>
            <w:vAlign w:val="center"/>
          </w:tcPr>
          <w:p w14:paraId="1CD2C888">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82 (71)</w:t>
            </w:r>
          </w:p>
        </w:tc>
      </w:tr>
      <w:tr w14:paraId="7EF52F71">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jc w:val="center"/>
        </w:trPr>
        <w:tc>
          <w:tcPr>
            <w:tcW w:w="1463" w:type="dxa"/>
            <w:vAlign w:val="center"/>
          </w:tcPr>
          <w:p w14:paraId="59B334D8">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 xml:space="preserve">Burton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[2]</w:t>
            </w:r>
          </w:p>
        </w:tc>
        <w:tc>
          <w:tcPr>
            <w:tcW w:w="1003" w:type="dxa"/>
            <w:vAlign w:val="center"/>
          </w:tcPr>
          <w:p w14:paraId="4AFF3569">
            <w:pPr>
              <w:adjustRightInd w:val="0"/>
              <w:snapToGrid w:val="0"/>
              <w:spacing w:line="360" w:lineRule="auto"/>
              <w:jc w:val="left"/>
              <w:rPr>
                <w:rFonts w:ascii="Times New Roman" w:hAnsi="Times New Roman"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CIOP</w:t>
            </w:r>
          </w:p>
        </w:tc>
        <w:tc>
          <w:tcPr>
            <w:tcW w:w="788" w:type="dxa"/>
            <w:vAlign w:val="center"/>
          </w:tcPr>
          <w:p w14:paraId="3BB0C90C">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cs="Times New Roman"/>
                <w:sz w:val="24"/>
                <w:lang w:val="de-DE" w:eastAsia="zh-CN"/>
              </w:rPr>
              <w:t>105</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106</w:t>
            </w:r>
          </w:p>
        </w:tc>
        <w:tc>
          <w:tcPr>
            <w:tcW w:w="905" w:type="dxa"/>
            <w:vAlign w:val="center"/>
          </w:tcPr>
          <w:p w14:paraId="081DAB47">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22-66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25-67</w:t>
            </w:r>
          </w:p>
        </w:tc>
        <w:tc>
          <w:tcPr>
            <w:tcW w:w="950" w:type="dxa"/>
            <w:vAlign w:val="center"/>
          </w:tcPr>
          <w:p w14:paraId="75407511">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70</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52</w:t>
            </w:r>
          </w:p>
        </w:tc>
        <w:tc>
          <w:tcPr>
            <w:tcW w:w="1830" w:type="dxa"/>
            <w:vAlign w:val="center"/>
          </w:tcPr>
          <w:p w14:paraId="44D808CF">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PFS: 56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PFS: 40</w:t>
            </w:r>
            <w:r>
              <w:rPr>
                <w:rFonts w:ascii="Times New Roman" w:hAnsi="Times New Roman" w:cs="Times New Roman"/>
                <w:sz w:val="24"/>
                <w:vertAlign w:val="superscript"/>
                <w:lang w:val="de-DE" w:eastAsia="zh-CN"/>
              </w:rPr>
              <w:t>*</w:t>
            </w:r>
          </w:p>
        </w:tc>
        <w:tc>
          <w:tcPr>
            <w:tcW w:w="1441" w:type="dxa"/>
            <w:vAlign w:val="center"/>
          </w:tcPr>
          <w:p w14:paraId="2ED6BBF3">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OS: 65</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OS: 56</w:t>
            </w:r>
            <w:r>
              <w:rPr>
                <w:rFonts w:ascii="Times New Roman" w:hAnsi="Times New Roman" w:cs="Times New Roman"/>
                <w:sz w:val="24"/>
                <w:vertAlign w:val="superscript"/>
                <w:lang w:val="de-DE" w:eastAsia="zh-CN"/>
              </w:rPr>
              <w:t>#</w:t>
            </w:r>
          </w:p>
        </w:tc>
      </w:tr>
    </w:tbl>
    <w:p w14:paraId="1F29FDE9">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w:t>
      </w:r>
      <w:r>
        <w:rPr>
          <w:rFonts w:ascii="Times New Roman" w:hAnsi="Times New Roman" w:eastAsia="宋体" w:cs="Times New Roman"/>
          <w:color w:val="000000"/>
          <w:kern w:val="0"/>
          <w:sz w:val="24"/>
        </w:rPr>
        <w:t xml:space="preserve">PFS: progression-free survival; </w:t>
      </w:r>
      <w:r>
        <w:rPr>
          <w:rFonts w:ascii="Times New Roman" w:hAnsi="Times New Roman" w:eastAsia="宋体" w:cs="Times New Roman"/>
          <w:bCs/>
          <w:color w:val="000000"/>
          <w:kern w:val="0"/>
          <w:sz w:val="24"/>
        </w:rPr>
        <w:t xml:space="preserve">OS: overall survival; </w:t>
      </w:r>
      <w:r>
        <w:rPr>
          <w:rFonts w:ascii="Times New Roman" w:hAnsi="Times New Roman" w:eastAsia="宋体" w:cs="Times New Roman"/>
          <w:color w:val="000000"/>
          <w:kern w:val="0"/>
          <w:sz w:val="24"/>
        </w:rPr>
        <w:t>CHOP: cyclophosphamide, doxorubicin, vincristine, and prednisone; CVP: cyclophosphamide, vincristine, and prednisone; CIOP: cyclophosphamide, idarubicin, vincristine, and prednisone; CR: complete response. This table is cited with permission from Li</w:t>
      </w:r>
      <w:r>
        <w:rPr>
          <w:rFonts w:ascii="Times New Roman" w:hAnsi="Times New Roman" w:eastAsia="宋体" w:cs="Times New Roman"/>
          <w:bCs/>
          <w:color w:val="000000"/>
          <w:w w:val="95"/>
          <w:kern w:val="0"/>
          <w:sz w:val="24"/>
        </w:rPr>
        <w:t xml:space="preserve">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7D83E7E6">
      <w:pPr>
        <w:widowControl/>
        <w:adjustRightInd w:val="0"/>
        <w:snapToGrid w:val="0"/>
        <w:spacing w:line="360" w:lineRule="auto"/>
        <w:jc w:val="left"/>
        <w:rPr>
          <w:rFonts w:ascii="Times New Roman" w:hAnsi="Times New Roman" w:eastAsia="宋体" w:cs="Times New Roman"/>
          <w:bCs/>
          <w:color w:val="000000"/>
          <w:kern w:val="0"/>
          <w:sz w:val="24"/>
        </w:rPr>
      </w:pPr>
    </w:p>
    <w:p w14:paraId="28FE90DD">
      <w:pPr>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 notes:</w:t>
      </w:r>
    </w:p>
    <w:p w14:paraId="4908311F">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cited in numeric order and placed after the paragraph where it is first cited;</w:t>
      </w:r>
    </w:p>
    <w:p w14:paraId="5A514D00">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The table caption should be placed above the table and labeled sequentially (e.g., Table 1, Table 2);</w:t>
      </w:r>
    </w:p>
    <w:p w14:paraId="7C03D190">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provided in editable form like DOC or DOCX format (picture is not allowed);</w:t>
      </w:r>
    </w:p>
    <w:p w14:paraId="398B75FA">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Abbreviations and symbols used in table should be explained in footnote;</w:t>
      </w:r>
    </w:p>
    <w:p w14:paraId="3639CA9E">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Explanatory matter should also be placed in footnotes;</w:t>
      </w:r>
    </w:p>
    <w:p w14:paraId="621EDE39">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Non-English words should be avoided;</w:t>
      </w:r>
    </w:p>
    <w:p w14:paraId="55400DD8">
      <w:pPr>
        <w:numPr>
          <w:ilvl w:val="0"/>
          <w:numId w:val="2"/>
        </w:numPr>
        <w:adjustRightInd w:val="0"/>
        <w:snapToGrid w:val="0"/>
        <w:spacing w:after="156" w:afterLines="50"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6F765635">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5B2C9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155FE8D8">
            <w:pPr>
              <w:spacing w:line="360" w:lineRule="auto"/>
              <w:jc w:val="left"/>
              <w:rPr>
                <w:rFonts w:ascii="Times New Roman" w:hAnsi="Times New Roman" w:eastAsia="宋体" w:cs="Times New Roman"/>
                <w:sz w:val="24"/>
              </w:rPr>
            </w:pPr>
            <w:r>
              <w:rPr>
                <w:rFonts w:ascii="Times New Roman" w:hAnsi="Times New Roman" w:eastAsia="宋体" w:cs="Times New Roman"/>
                <w:position w:val="-18"/>
                <w:sz w:val="24"/>
              </w:rPr>
              <w:object>
                <v:shape id="_x0000_i1025" o:spt="75" type="#_x0000_t75" style="height:24pt;width:76.5pt;" o:ole="t" filled="f" o:preferrelative="t" stroked="f" coordsize="21600,21600">
                  <v:path/>
                  <v:fill on="f" focussize="0,0"/>
                  <v:stroke on="f" joinstyle="miter"/>
                  <v:imagedata r:id="rId11" o:title=""/>
                  <o:lock v:ext="edit" aspectratio="t"/>
                  <w10:wrap type="none"/>
                  <w10:anchorlock/>
                </v:shape>
                <o:OLEObject Type="Embed" ProgID="Equation.3" ShapeID="_x0000_i1025" DrawAspect="Content" ObjectID="_1468075725" r:id="rId10">
                  <o:LockedField>false</o:LockedField>
                </o:OLEObject>
              </w:object>
            </w:r>
          </w:p>
        </w:tc>
        <w:tc>
          <w:tcPr>
            <w:tcW w:w="435" w:type="dxa"/>
            <w:vAlign w:val="center"/>
          </w:tcPr>
          <w:p w14:paraId="1B7463FD">
            <w:pPr>
              <w:spacing w:line="360" w:lineRule="auto"/>
              <w:jc w:val="left"/>
              <w:rPr>
                <w:rFonts w:ascii="Times New Roman" w:hAnsi="Times New Roman" w:cs="Times New Roman"/>
                <w:sz w:val="24"/>
              </w:rPr>
            </w:pPr>
            <w:r>
              <w:rPr>
                <w:rFonts w:ascii="Times New Roman" w:hAnsi="Times New Roman" w:cs="Times New Roman"/>
                <w:sz w:val="24"/>
              </w:rPr>
              <w:t>(1)</w:t>
            </w:r>
          </w:p>
        </w:tc>
      </w:tr>
    </w:tbl>
    <w:p w14:paraId="5900433B">
      <w:pPr>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 note:</w:t>
      </w:r>
    </w:p>
    <w:p w14:paraId="7A20087F">
      <w:pPr>
        <w:numPr>
          <w:ilvl w:val="0"/>
          <w:numId w:val="2"/>
        </w:numPr>
        <w:adjustRightInd w:val="0"/>
        <w:snapToGrid w:val="0"/>
        <w:spacing w:after="312" w:afterLines="100"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Equations should be provided in editable form (image file format is not allowed).</w:t>
      </w:r>
    </w:p>
    <w:p w14:paraId="1B2BF7E2">
      <w:pPr>
        <w:adjustRightInd w:val="0"/>
        <w:snapToGrid w:val="0"/>
        <w:spacing w:after="312" w:afterLines="100" w:line="360" w:lineRule="auto"/>
        <w:jc w:val="left"/>
        <w:rPr>
          <w:rFonts w:ascii="Times New Roman" w:hAnsi="Times New Roman" w:cs="Times New Roman"/>
          <w:b/>
          <w:bCs/>
          <w:i/>
          <w:iCs/>
          <w:color w:val="808080" w:themeColor="background1" w:themeShade="80"/>
          <w:sz w:val="18"/>
          <w:szCs w:val="18"/>
        </w:rPr>
      </w:pP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352A1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39F2D6B7">
            <w:pPr>
              <w:adjustRightInd w:val="0"/>
              <w:snapToGrid w:val="0"/>
              <w:spacing w:line="360" w:lineRule="auto"/>
              <w:jc w:val="left"/>
              <w:rPr>
                <w:rFonts w:ascii="Times New Roman" w:hAnsi="Times New Roman" w:cs="Times New Roman"/>
              </w:rPr>
            </w:pPr>
            <w:r>
              <w:rPr>
                <w:rFonts w:ascii="Times New Roman" w:hAnsi="Times New Roman" w:cs="Times New Roman"/>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2" cstate="print"/>
                          <a:stretch>
                            <a:fillRect/>
                          </a:stretch>
                        </pic:blipFill>
                        <pic:spPr>
                          <a:xfrm>
                            <a:off x="0" y="0"/>
                            <a:ext cx="2591435" cy="1418590"/>
                          </a:xfrm>
                          <a:prstGeom prst="rect">
                            <a:avLst/>
                          </a:prstGeom>
                          <a:noFill/>
                          <a:ln w="9525">
                            <a:noFill/>
                          </a:ln>
                        </pic:spPr>
                      </pic:pic>
                    </a:graphicData>
                  </a:graphic>
                </wp:inline>
              </w:drawing>
            </w:r>
          </w:p>
          <w:p w14:paraId="3423F795">
            <w:pPr>
              <w:adjustRightInd w:val="0"/>
              <w:snapToGrid w:val="0"/>
              <w:spacing w:after="156" w:afterLines="50" w:line="360" w:lineRule="auto"/>
              <w:jc w:val="left"/>
              <w:rPr>
                <w:rFonts w:ascii="Times New Roman" w:hAnsi="Times New Roman" w:eastAsia="宋体" w:cs="Times New Roman"/>
              </w:rPr>
            </w:pPr>
            <w:r>
              <w:rPr>
                <w:rFonts w:ascii="Times New Roman" w:hAnsi="Times New Roman" w:eastAsia="宋体" w:cs="Times New Roman"/>
                <w:b/>
                <w:bCs/>
              </w:rPr>
              <w:t>A</w:t>
            </w:r>
          </w:p>
        </w:tc>
        <w:tc>
          <w:tcPr>
            <w:tcW w:w="4422" w:type="dxa"/>
          </w:tcPr>
          <w:p w14:paraId="62DDE572">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rPr>
              <w:drawing>
                <wp:inline distT="0" distB="0" distL="114300" distR="114300">
                  <wp:extent cx="2546350" cy="1441450"/>
                  <wp:effectExtent l="0" t="0" r="6350" b="6350"/>
                  <wp:docPr id="2" name="图片 2" descr="图二(清晰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二(清晰版)"/>
                          <pic:cNvPicPr>
                            <a:picLocks noChangeAspect="1"/>
                          </pic:cNvPicPr>
                        </pic:nvPicPr>
                        <pic:blipFill>
                          <a:blip r:embed="rId13" cstate="print"/>
                          <a:stretch>
                            <a:fillRect/>
                          </a:stretch>
                        </pic:blipFill>
                        <pic:spPr>
                          <a:xfrm>
                            <a:off x="0" y="0"/>
                            <a:ext cx="2546350" cy="1441450"/>
                          </a:xfrm>
                          <a:prstGeom prst="rect">
                            <a:avLst/>
                          </a:prstGeom>
                        </pic:spPr>
                      </pic:pic>
                    </a:graphicData>
                  </a:graphic>
                </wp:inline>
              </w:drawing>
            </w:r>
          </w:p>
          <w:p w14:paraId="75B829D7">
            <w:pPr>
              <w:adjustRightInd w:val="0"/>
              <w:snapToGrid w:val="0"/>
              <w:spacing w:after="156" w:afterLines="50" w:line="360" w:lineRule="auto"/>
              <w:jc w:val="left"/>
              <w:rPr>
                <w:rFonts w:ascii="Times New Roman" w:hAnsi="Times New Roman" w:eastAsia="宋体" w:cs="Times New Roman"/>
              </w:rPr>
            </w:pPr>
            <w:r>
              <w:rPr>
                <w:rFonts w:ascii="Times New Roman" w:hAnsi="Times New Roman" w:eastAsia="宋体" w:cs="Times New Roman"/>
                <w:b/>
                <w:bCs/>
              </w:rPr>
              <w:t>B</w:t>
            </w:r>
          </w:p>
        </w:tc>
      </w:tr>
      <w:tr w14:paraId="3E394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2BE9CF11">
            <w:pPr>
              <w:adjustRightInd w:val="0"/>
              <w:snapToGrid w:val="0"/>
              <w:spacing w:line="360" w:lineRule="auto"/>
              <w:jc w:val="left"/>
              <w:rPr>
                <w:rFonts w:ascii="Times New Roman" w:hAnsi="Times New Roman" w:eastAsia="宋体" w:cs="Times New Roman"/>
              </w:rPr>
            </w:pPr>
            <w:r>
              <w:rPr>
                <w:rFonts w:ascii="Times New Roman" w:hAnsi="Times New Roman" w:cs="Times New Roman"/>
                <w:b/>
              </w:rPr>
              <w:drawing>
                <wp:inline distT="0" distB="0" distL="114300" distR="114300">
                  <wp:extent cx="3129280" cy="1640840"/>
                  <wp:effectExtent l="0" t="0" r="13970" b="1651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3B97E91">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b/>
                <w:bCs/>
              </w:rPr>
              <w:t>C</w:t>
            </w:r>
          </w:p>
        </w:tc>
      </w:tr>
    </w:tbl>
    <w:p w14:paraId="773AA9D5">
      <w:pPr>
        <w:adjustRightInd w:val="0"/>
        <w:snapToGrid w:val="0"/>
        <w:spacing w:line="360" w:lineRule="auto"/>
        <w:jc w:val="left"/>
        <w:rPr>
          <w:rFonts w:ascii="Times New Roman" w:hAnsi="Times New Roman" w:cs="Times New Roman"/>
          <w:sz w:val="24"/>
          <w:vertAlign w:val="superscript"/>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6A69C119">
      <w:pPr>
        <w:adjustRightInd w:val="0"/>
        <w:snapToGrid w:val="0"/>
        <w:spacing w:after="156" w:afterLines="50"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 notes:</w:t>
      </w:r>
    </w:p>
    <w:p w14:paraId="7621DDB4">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should be cited in numeric order (e.g., Figure 1, Figure 2) and placed after the paragraph where it is first cited;</w:t>
      </w:r>
    </w:p>
    <w:p w14:paraId="0C434BBD">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can be submitted in format of tiff, psd, AI or jpeg, with resolution of 300-600 dpi;</w:t>
      </w:r>
    </w:p>
    <w:p w14:paraId="0CBD4331">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Diagrams with describing words (including, flow chart, coordinate diagram, bar chart, line chart, and scatter diagram, etc.) should be editable in word, excel or powerpoint format. Non-English information should be avoided;</w:t>
      </w:r>
    </w:p>
    <w:p w14:paraId="53C764C0">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Labels, numbers, letters, arrows, and symbols in figure should be clear, of uniform size, and contrast with the background;</w:t>
      </w:r>
    </w:p>
    <w:p w14:paraId="2370EB33">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Symbols, arrows, numbers, or letters used to identify parts of the illustrations must be identified and explained in the legend; </w:t>
      </w:r>
    </w:p>
    <w:p w14:paraId="3DFBC803">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Internal scale (magnification) should be explained and the staining method in photomicrographs should be identified;</w:t>
      </w:r>
    </w:p>
    <w:p w14:paraId="7F34F5AD">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All non-standard abbreviations should be explained in the legend; </w:t>
      </w:r>
    </w:p>
    <w:p w14:paraId="2DC1DED7">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18"/>
          <w:szCs w:val="18"/>
        </w:rPr>
        <w:t xml:space="preserve"> </w:t>
      </w:r>
    </w:p>
    <w:p w14:paraId="018EB4A7">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p w14:paraId="5EF5D0B0">
      <w:pPr>
        <w:adjustRightInd w:val="0"/>
        <w:snapToGrid w:val="0"/>
        <w:spacing w:line="360" w:lineRule="auto"/>
        <w:jc w:val="left"/>
        <w:rPr>
          <w:rFonts w:ascii="Times New Roman" w:hAnsi="Times New Roman" w:cs="Times New Roman"/>
          <w:b/>
          <w:bCs/>
          <w:i/>
          <w:iCs/>
          <w:color w:val="808080" w:themeColor="background1" w:themeShade="80"/>
          <w:sz w:val="24"/>
        </w:rPr>
      </w:pPr>
    </w:p>
    <w:p w14:paraId="5AB51646">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CONCLUSIONS</w:t>
      </w:r>
    </w:p>
    <w:p w14:paraId="5257618A">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part, authors should conclude the significance of the study, emphasize its value and state expectation on future studies that may need to be carried out. In details, it may include summary of key findings, strengths and limitations of the study, controversies raised by this study, and future research directions, </w:t>
      </w:r>
      <w:r>
        <w:rPr>
          <w:rFonts w:ascii="Times New Roman" w:hAnsi="Times New Roman" w:cs="Times New Roman"/>
          <w:i/>
          <w:iCs/>
          <w:sz w:val="24"/>
        </w:rPr>
        <w:t>etc</w:t>
      </w:r>
      <w:r>
        <w:rPr>
          <w:rFonts w:ascii="Times New Roman" w:hAnsi="Times New Roman" w:cs="Times New Roman"/>
          <w:sz w:val="24"/>
        </w:rPr>
        <w:t>.</w:t>
      </w:r>
    </w:p>
    <w:p w14:paraId="410425DF">
      <w:pPr>
        <w:widowControl/>
        <w:adjustRightInd w:val="0"/>
        <w:snapToGrid w:val="0"/>
        <w:spacing w:after="156" w:afterLines="50"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572DA152">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bookmarkStart w:id="3" w:name="OLE_LINK15"/>
      <w:bookmarkStart w:id="4" w:name="OLE_LINK14"/>
      <w:r>
        <w:rPr>
          <w:rFonts w:ascii="Times New Roman" w:hAnsi="Times New Roman" w:cs="Times New Roman"/>
          <w:b/>
          <w:bCs/>
          <w:i/>
          <w:iCs/>
          <w:color w:val="808080" w:themeColor="background1" w:themeShade="80"/>
          <w:sz w:val="18"/>
          <w:szCs w:val="18"/>
        </w:rPr>
        <w:t xml:space="preserve">Avoid redundant explanations to </w:t>
      </w:r>
      <w:bookmarkEnd w:id="3"/>
      <w:r>
        <w:rPr>
          <w:rFonts w:ascii="Times New Roman" w:hAnsi="Times New Roman" w:cs="Times New Roman"/>
          <w:b/>
          <w:bCs/>
          <w:i/>
          <w:iCs/>
          <w:color w:val="808080" w:themeColor="background1" w:themeShade="80"/>
          <w:sz w:val="18"/>
          <w:szCs w:val="18"/>
        </w:rPr>
        <w:t>data or other materials given in the Introduction or the Results section</w:t>
      </w:r>
      <w:bookmarkEnd w:id="4"/>
      <w:r>
        <w:rPr>
          <w:rFonts w:ascii="Times New Roman" w:hAnsi="Times New Roman" w:cs="Times New Roman"/>
          <w:b/>
          <w:bCs/>
          <w:i/>
          <w:iCs/>
          <w:color w:val="808080" w:themeColor="background1" w:themeShade="80"/>
          <w:sz w:val="18"/>
          <w:szCs w:val="18"/>
        </w:rPr>
        <w:t>;</w:t>
      </w:r>
    </w:p>
    <w:p w14:paraId="0C92A14E">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Contributors should avoid making statements on economic benefits and costs except for economic data and analyses that serve as an integral part of the manuscript.</w:t>
      </w:r>
    </w:p>
    <w:p w14:paraId="4CFA4006">
      <w:pPr>
        <w:adjustRightInd w:val="0"/>
        <w:snapToGrid w:val="0"/>
        <w:spacing w:line="360" w:lineRule="auto"/>
        <w:jc w:val="left"/>
        <w:rPr>
          <w:rFonts w:ascii="Times New Roman" w:hAnsi="Times New Roman" w:cs="Times New Roman"/>
          <w:b/>
          <w:bCs/>
          <w:i/>
          <w:iCs/>
          <w:color w:val="808080" w:themeColor="background1" w:themeShade="80"/>
          <w:sz w:val="24"/>
        </w:rPr>
      </w:pPr>
    </w:p>
    <w:p w14:paraId="7042F0FE">
      <w:pPr>
        <w:adjustRightInd w:val="0"/>
        <w:snapToGrid w:val="0"/>
        <w:spacing w:line="360" w:lineRule="auto"/>
        <w:jc w:val="left"/>
        <w:rPr>
          <w:rFonts w:ascii="Times New Roman" w:hAnsi="Times New Roman" w:eastAsia="Times New Roman" w:cs="Times New Roman"/>
          <w:b/>
          <w:bCs/>
          <w:iCs/>
          <w:color w:val="190F13"/>
          <w:sz w:val="24"/>
        </w:rPr>
      </w:pPr>
      <w:bookmarkStart w:id="5" w:name="_Hlk59623292"/>
      <w:bookmarkStart w:id="6" w:name="_Hlk59623241"/>
      <w:r>
        <w:rPr>
          <w:rFonts w:ascii="Times New Roman" w:hAnsi="Times New Roman" w:eastAsia="Times New Roman" w:cs="Times New Roman"/>
          <w:b/>
          <w:bCs/>
          <w:iCs/>
          <w:color w:val="190F13"/>
          <w:sz w:val="24"/>
        </w:rPr>
        <w:t>DECLARATIONS</w:t>
      </w:r>
    </w:p>
    <w:bookmarkEnd w:id="5"/>
    <w:p w14:paraId="6C32AACA">
      <w:pPr>
        <w:widowControl/>
        <w:adjustRightInd w:val="0"/>
        <w:snapToGrid w:val="0"/>
        <w:spacing w:line="360" w:lineRule="auto"/>
        <w:jc w:val="left"/>
        <w:rPr>
          <w:rFonts w:ascii="Times New Roman" w:hAnsi="Times New Roman" w:eastAsia="宋体" w:cs="Times New Roman"/>
          <w:b/>
          <w:bCs/>
          <w:iCs/>
          <w:color w:val="000000"/>
          <w:kern w:val="0"/>
          <w:sz w:val="24"/>
        </w:rPr>
      </w:pPr>
      <w:bookmarkStart w:id="7" w:name="_Hlk59623311"/>
      <w:bookmarkStart w:id="8" w:name="OLE_LINK1"/>
      <w:r>
        <w:rPr>
          <w:rFonts w:ascii="Times New Roman" w:hAnsi="Times New Roman" w:eastAsia="宋体" w:cs="Times New Roman"/>
          <w:b/>
          <w:bCs/>
          <w:iCs/>
          <w:color w:val="000000"/>
          <w:kern w:val="0"/>
          <w:sz w:val="24"/>
        </w:rPr>
        <w:t>Acknowledgments</w:t>
      </w:r>
    </w:p>
    <w:p w14:paraId="41D75850">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5"/>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08C61395">
      <w:pPr>
        <w:pStyle w:val="8"/>
        <w:shd w:val="clear" w:color="auto" w:fill="FFFFFF"/>
        <w:adjustRightInd w:val="0"/>
        <w:snapToGrid w:val="0"/>
        <w:spacing w:before="0" w:beforeAutospacing="0" w:after="0" w:afterAutospacing="0" w:line="360" w:lineRule="auto"/>
        <w:rPr>
          <w:rFonts w:ascii="Times New Roman" w:hAnsi="Times New Roman" w:cs="Times New Roman"/>
        </w:rPr>
      </w:pPr>
    </w:p>
    <w:p w14:paraId="17D8B1DD">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6F2C353D">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0E0349B8">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2F2FC254">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563EE9FB">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79C4ABDE">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55CAB075">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w:t>
      </w:r>
    </w:p>
    <w:p w14:paraId="30647441">
      <w:pPr>
        <w:widowControl/>
        <w:adjustRightInd w:val="0"/>
        <w:snapToGrid w:val="0"/>
        <w:spacing w:line="360" w:lineRule="auto"/>
        <w:jc w:val="left"/>
        <w:rPr>
          <w:rFonts w:ascii="Times New Roman" w:hAnsi="Times New Roman" w:eastAsia="宋体" w:cs="Times New Roman"/>
          <w:kern w:val="0"/>
          <w:sz w:val="24"/>
        </w:rPr>
      </w:pPr>
    </w:p>
    <w:p w14:paraId="0902565E">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Availability of data and materials</w:t>
      </w:r>
    </w:p>
    <w:p w14:paraId="39B80B39">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64935096">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64A01CEF">
      <w:pPr>
        <w:widowControl/>
        <w:adjustRightInd w:val="0"/>
        <w:snapToGrid w:val="0"/>
        <w:spacing w:line="360" w:lineRule="auto"/>
        <w:jc w:val="left"/>
        <w:rPr>
          <w:rFonts w:ascii="Times New Roman" w:hAnsi="Times New Roman" w:cs="Times New Roman"/>
          <w:sz w:val="24"/>
        </w:rPr>
      </w:pPr>
    </w:p>
    <w:p w14:paraId="02878441">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23E96B76">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4CCC4A09">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544126A4">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62744694">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None.</w:t>
      </w:r>
    </w:p>
    <w:p w14:paraId="06921602">
      <w:pPr>
        <w:widowControl/>
        <w:adjustRightInd w:val="0"/>
        <w:snapToGrid w:val="0"/>
        <w:spacing w:line="360" w:lineRule="auto"/>
        <w:jc w:val="left"/>
        <w:rPr>
          <w:rFonts w:ascii="Times New Roman" w:hAnsi="Times New Roman" w:eastAsia="宋体" w:cs="Times New Roman"/>
          <w:kern w:val="0"/>
          <w:sz w:val="24"/>
        </w:rPr>
      </w:pPr>
    </w:p>
    <w:p w14:paraId="21C49647">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0DC5D499">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7979AAE6">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4B9E3809">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9" w:name="OLE_LINK10"/>
      <w:bookmarkStart w:id="10" w:name="OLE_LINK11"/>
      <w:r>
        <w:rPr>
          <w:rFonts w:ascii="Times New Roman" w:hAnsi="Times New Roman" w:cs="Times New Roman"/>
          <w:sz w:val="24"/>
        </w:rPr>
        <w:t>”</w:t>
      </w:r>
      <w:bookmarkEnd w:id="9"/>
      <w:bookmarkEnd w:id="10"/>
      <w:r>
        <w:rPr>
          <w:rFonts w:ascii="Times New Roman" w:hAnsi="Times New Roman" w:cs="Times New Roman"/>
          <w:sz w:val="24"/>
        </w:rPr>
        <w:t xml:space="preserve">. </w:t>
      </w:r>
    </w:p>
    <w:p w14:paraId="0FD87C2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11" w:name="OLE_LINK12"/>
      <w:bookmarkStart w:id="12" w:name="OLE_LINK13"/>
      <w:r>
        <w:rPr>
          <w:rFonts w:ascii="Times New Roman" w:hAnsi="Times New Roman" w:cs="Times New Roman"/>
          <w:sz w:val="24"/>
        </w:rPr>
        <w:t>“</w:t>
      </w:r>
      <w:bookmarkEnd w:id="11"/>
      <w:bookmarkEnd w:id="12"/>
      <w:r>
        <w:rPr>
          <w:rFonts w:ascii="Times New Roman" w:hAnsi="Times New Roman" w:cs="Times New Roman"/>
          <w:sz w:val="24"/>
        </w:rPr>
        <w:t xml:space="preserve">Conflicts of Interest” in the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"https://www.oaepublish.com/energyz/editorial_policies" </w:instrText>
      </w:r>
      <w:r>
        <w:rPr>
          <w:rFonts w:ascii="Times New Roman" w:hAnsi="Times New Roman" w:cs="Times New Roman"/>
          <w:b/>
          <w:bCs/>
          <w:color w:val="auto"/>
          <w:sz w:val="24"/>
          <w:u w:val="none"/>
        </w:rPr>
        <w:fldChar w:fldCharType="separate"/>
      </w:r>
      <w:r>
        <w:rPr>
          <w:rStyle w:val="13"/>
          <w:rFonts w:ascii="Times New Roman" w:hAnsi="Times New Roman" w:cs="Times New Roman"/>
          <w:b/>
          <w:bCs/>
          <w:sz w:val="24"/>
        </w:rPr>
        <w:t>Editorial Policies</w:t>
      </w:r>
      <w:r>
        <w:rPr>
          <w:rFonts w:ascii="Times New Roman" w:hAnsi="Times New Roman" w:cs="Times New Roman"/>
          <w:b/>
          <w:bCs/>
          <w:color w:val="auto"/>
          <w:sz w:val="24"/>
          <w:u w:val="none"/>
        </w:rPr>
        <w:fldChar w:fldCharType="end"/>
      </w:r>
      <w:r>
        <w:rPr>
          <w:rFonts w:ascii="Times New Roman" w:hAnsi="Times New Roman" w:cs="Times New Roman"/>
          <w:sz w:val="24"/>
        </w:rPr>
        <w:t xml:space="preserve"> of </w:t>
      </w:r>
      <w:r>
        <w:rPr>
          <w:rFonts w:hint="eastAsia" w:ascii="Times New Roman" w:hAnsi="Times New Roman" w:cs="Times New Roman"/>
          <w:i/>
          <w:iCs/>
          <w:sz w:val="24"/>
        </w:rPr>
        <w:t>AI Agent</w:t>
      </w:r>
      <w:r>
        <w:rPr>
          <w:rFonts w:ascii="Times New Roman" w:hAnsi="Times New Roman" w:cs="Times New Roman"/>
          <w:sz w:val="24"/>
        </w:rPr>
        <w:t xml:space="preserve"> for a full explanation.</w:t>
      </w:r>
    </w:p>
    <w:p w14:paraId="48E61932">
      <w:pPr>
        <w:adjustRightInd w:val="0"/>
        <w:snapToGrid w:val="0"/>
        <w:spacing w:line="360" w:lineRule="auto"/>
        <w:jc w:val="left"/>
        <w:rPr>
          <w:rFonts w:ascii="Times New Roman" w:hAnsi="Times New Roman" w:cs="Times New Roman"/>
          <w:sz w:val="24"/>
        </w:rPr>
      </w:pPr>
    </w:p>
    <w:p w14:paraId="6F51B1C9">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326A6475">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Research involving human subjects, human material or human data must be performed in accordance with the </w:t>
      </w:r>
      <w:r>
        <w:fldChar w:fldCharType="begin"/>
      </w:r>
      <w:r>
        <w:instrText xml:space="preserve"> HYPERLINK "https://www.wma.net/policies-post/wma-declaration-of-helsinki-ethical-principles-for-medical-research-involving-human-subjects/" </w:instrText>
      </w:r>
      <w:r>
        <w:fldChar w:fldCharType="separate"/>
      </w:r>
      <w:r>
        <w:rPr>
          <w:rStyle w:val="13"/>
          <w:rFonts w:ascii="Times New Roman" w:hAnsi="Times New Roman" w:cs="Times New Roman"/>
          <w:b/>
          <w:bCs/>
          <w:sz w:val="24"/>
        </w:rPr>
        <w:t>Declaration of Helsinki</w:t>
      </w:r>
      <w:r>
        <w:rPr>
          <w:rStyle w:val="15"/>
          <w:rFonts w:ascii="Times New Roman" w:hAnsi="Times New Roman" w:cs="Times New Roman"/>
          <w:b/>
          <w:bCs/>
          <w:sz w:val="24"/>
        </w:rPr>
        <w:fldChar w:fldCharType="end"/>
      </w:r>
      <w:r>
        <w:rPr>
          <w:rFonts w:ascii="Times New Roman" w:hAnsi="Times New Roman" w:cs="Times New Roman"/>
          <w:sz w:val="24"/>
        </w:rPr>
        <w:t xml:space="preserve"> and approved by an appropriate ethics committee. An informed consent to participate in the study should also be obtained from participants, or their parents or legal guardians for children under 16. A statement detailing the name of the ethics committee (including the reference number where appropriate) and the informed consent obtained must appear in the manuscripts reporting such research.</w:t>
      </w:r>
    </w:p>
    <w:p w14:paraId="360BF422">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the manuscript does not involve such issue, please state </w:t>
      </w:r>
      <w:bookmarkStart w:id="13" w:name="OLE_LINK16"/>
      <w:bookmarkStart w:id="14" w:name="OLE_LINK17"/>
      <w:r>
        <w:rPr>
          <w:rFonts w:ascii="Times New Roman" w:hAnsi="Times New Roman" w:cs="Times New Roman"/>
          <w:sz w:val="24"/>
        </w:rPr>
        <w:t>“</w:t>
      </w:r>
      <w:bookmarkEnd w:id="13"/>
      <w:bookmarkEnd w:id="14"/>
      <w:r>
        <w:rPr>
          <w:rFonts w:ascii="Times New Roman" w:hAnsi="Times New Roman" w:cs="Times New Roman"/>
          <w:sz w:val="24"/>
        </w:rPr>
        <w:t>Not applicable.” in this section.</w:t>
      </w:r>
    </w:p>
    <w:p w14:paraId="21569011">
      <w:pPr>
        <w:adjustRightInd w:val="0"/>
        <w:snapToGrid w:val="0"/>
        <w:spacing w:line="360" w:lineRule="auto"/>
        <w:rPr>
          <w:rFonts w:ascii="Times New Roman" w:hAnsi="Times New Roman" w:cs="Times New Roman"/>
          <w:sz w:val="24"/>
        </w:rPr>
      </w:pPr>
    </w:p>
    <w:p w14:paraId="10E19D84">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128E9138">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Manuscripts containing individual details, images or videos, must obtain consent for publication from that person, or in the case of children, their parents or legal guardians. If the person has died, consent for publication must be obtained from the next of kin of the participant. Manuscripts must include a statement that a written informed consent for publication was obtained. Authors do not have to submit such content accompanying the manuscript. However, these documents must be available if requested. </w:t>
      </w:r>
    </w:p>
    <w:p w14:paraId="0265BA42">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 manuscript does not involve this issue, state “Not applicable.” in this section.</w:t>
      </w:r>
    </w:p>
    <w:p w14:paraId="6E757BE3">
      <w:pPr>
        <w:adjustRightInd w:val="0"/>
        <w:snapToGrid w:val="0"/>
        <w:spacing w:line="360" w:lineRule="auto"/>
        <w:jc w:val="left"/>
        <w:rPr>
          <w:rFonts w:ascii="Times New Roman" w:hAnsi="Times New Roman" w:cs="Times New Roman"/>
          <w:sz w:val="24"/>
        </w:rPr>
      </w:pPr>
    </w:p>
    <w:p w14:paraId="6A301838">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14656DF0">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lang w:val="en-US" w:eastAsia="zh-CN"/>
        </w:rPr>
        <w:t>5</w:t>
      </w:r>
      <w:r>
        <w:rPr>
          <w:rFonts w:ascii="Times New Roman" w:hAnsi="Times New Roman" w:eastAsia="宋体" w:cs="Times New Roman"/>
          <w:color w:val="000000"/>
          <w:kern w:val="0"/>
          <w:sz w:val="24"/>
        </w:rPr>
        <w:t>.</w:t>
      </w:r>
    </w:p>
    <w:p w14:paraId="6904B65B">
      <w:pPr>
        <w:widowControl/>
        <w:adjustRightInd w:val="0"/>
        <w:snapToGrid w:val="0"/>
        <w:spacing w:line="360" w:lineRule="auto"/>
        <w:jc w:val="left"/>
        <w:rPr>
          <w:rFonts w:ascii="Times New Roman" w:hAnsi="Times New Roman" w:eastAsia="宋体" w:cs="Times New Roman"/>
          <w:color w:val="000000"/>
          <w:kern w:val="0"/>
          <w:sz w:val="24"/>
        </w:rPr>
      </w:pPr>
    </w:p>
    <w:bookmarkEnd w:id="6"/>
    <w:bookmarkEnd w:id="7"/>
    <w:p w14:paraId="12373A00">
      <w:pPr>
        <w:adjustRightInd w:val="0"/>
        <w:snapToGrid w:val="0"/>
        <w:spacing w:after="156" w:afterLines="50"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bookmarkEnd w:id="8"/>
    <w:p w14:paraId="4721DB3D">
      <w:pPr>
        <w:adjustRightInd w:val="0"/>
        <w:snapToGrid w:val="0"/>
        <w:spacing w:line="360" w:lineRule="auto"/>
        <w:jc w:val="left"/>
        <w:rPr>
          <w:rFonts w:ascii="Times New Roman" w:hAnsi="Times New Roman" w:cs="Times New Roman"/>
          <w:sz w:val="24"/>
        </w:rPr>
      </w:pPr>
      <w:bookmarkStart w:id="15" w:name="_Hlk59626830"/>
      <w:r>
        <w:rPr>
          <w:rFonts w:ascii="Times New Roman" w:hAnsi="Times New Roman" w:cs="Times New Roman"/>
          <w:sz w:val="24"/>
        </w:rPr>
        <w:t xml:space="preserve">Authors should cite references </w:t>
      </w:r>
      <w:r>
        <w:rPr>
          <w:rFonts w:ascii="Times New Roman" w:hAnsi="Times New Roman" w:cs="Times New Roman"/>
          <w:b/>
          <w:sz w:val="24"/>
        </w:rPr>
        <w:t>in sequence</w:t>
      </w:r>
      <w:r>
        <w:rPr>
          <w:rFonts w:ascii="Times New Roman" w:hAnsi="Times New Roman" w:cs="Times New Roman"/>
          <w:sz w:val="24"/>
        </w:rPr>
        <w:t xml:space="preserv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w:t>
      </w:r>
    </w:p>
    <w:p w14:paraId="78E49C82">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We suggest that authors should cite appropriate, traceable and latest references be within recent 5 years; </w:t>
      </w:r>
    </w:p>
    <w:p w14:paraId="75550FE6">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Each reference should have a corresponding DOI number/website link;</w:t>
      </w:r>
    </w:p>
    <w:p w14:paraId="5B4FE151">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Top three authors’ names should be listed in the references; </w:t>
      </w:r>
    </w:p>
    <w:p w14:paraId="2283B685">
      <w:pPr>
        <w:numPr>
          <w:ilvl w:val="0"/>
          <w:numId w:val="2"/>
        </w:numPr>
        <w:adjustRightInd w:val="0"/>
        <w:snapToGrid w:val="0"/>
        <w:spacing w:line="360" w:lineRule="auto"/>
        <w:ind w:left="0" w:firstLine="0"/>
        <w:jc w:val="left"/>
        <w:rPr>
          <w:rFonts w:ascii="Times New Roman" w:hAnsi="Times New Roman" w:cs="Times New Roman"/>
          <w:b/>
          <w:bCs/>
          <w:i/>
          <w:iCs/>
          <w:color w:val="808080"/>
          <w:szCs w:val="21"/>
        </w:rPr>
      </w:pPr>
      <w:r>
        <w:rPr>
          <w:rFonts w:ascii="Times New Roman" w:hAnsi="Times New Roman" w:cs="Times New Roman"/>
          <w:b/>
          <w:bCs/>
          <w:i/>
          <w:iCs/>
          <w:color w:val="808080"/>
          <w:sz w:val="18"/>
          <w:szCs w:val="18"/>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5"/>
          <w:rFonts w:ascii="Times New Roman" w:hAnsi="Times New Roman" w:cs="Times New Roman"/>
          <w:b/>
          <w:bCs/>
          <w:i/>
          <w:iCs/>
          <w:color w:val="808080"/>
          <w:sz w:val="18"/>
          <w:szCs w:val="18"/>
        </w:rPr>
        <w:t>http://www2.bg.am.poznan.pl/czasopisma/medicus.php?lang=eng</w:t>
      </w:r>
      <w:r>
        <w:rPr>
          <w:rStyle w:val="15"/>
          <w:rFonts w:ascii="Times New Roman" w:hAnsi="Times New Roman" w:cs="Times New Roman"/>
          <w:b/>
          <w:bCs/>
          <w:i/>
          <w:iCs/>
          <w:color w:val="808080"/>
          <w:sz w:val="18"/>
          <w:szCs w:val="18"/>
        </w:rPr>
        <w:fldChar w:fldCharType="end"/>
      </w:r>
      <w:r>
        <w:rPr>
          <w:rFonts w:ascii="Times New Roman" w:hAnsi="Times New Roman" w:cs="Times New Roman"/>
          <w:b/>
          <w:bCs/>
          <w:i/>
          <w:iCs/>
          <w:color w:val="808080"/>
          <w:sz w:val="18"/>
          <w:szCs w:val="18"/>
        </w:rPr>
        <w:t>)</w:t>
      </w:r>
      <w:r>
        <w:rPr>
          <w:rFonts w:ascii="Times New Roman" w:hAnsi="Times New Roman" w:cs="Times New Roman"/>
          <w:bCs/>
          <w:i/>
          <w:iCs/>
          <w:color w:val="808080"/>
          <w:szCs w:val="21"/>
        </w:rPr>
        <w:t>.</w:t>
      </w:r>
    </w:p>
    <w:p w14:paraId="31FDDAD8">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0FF9CF65">
      <w:pPr>
        <w:rPr>
          <w:rFonts w:ascii="Times New Roman" w:hAnsi="Times New Roman" w:cs="Times New Roman"/>
          <w:b/>
          <w:bCs/>
          <w:szCs w:val="21"/>
        </w:rPr>
      </w:pPr>
      <w:r>
        <w:rPr>
          <w:rFonts w:ascii="Times New Roman" w:hAnsi="Times New Roman" w:cs="Times New Roman"/>
          <w:b/>
          <w:bCs/>
          <w:szCs w:val="21"/>
        </w:rPr>
        <w:t>Journal articles by individual authors</w:t>
      </w:r>
    </w:p>
    <w:p w14:paraId="7D960C3C">
      <w:pPr>
        <w:rPr>
          <w:rFonts w:ascii="Times New Roman" w:hAnsi="Times New Roman" w:cs="Times New Roman"/>
          <w:szCs w:val="21"/>
        </w:rPr>
      </w:pPr>
      <w:r>
        <w:rPr>
          <w:rFonts w:ascii="Times New Roman" w:hAnsi="Times New Roman" w:cs="Times New Roman"/>
          <w:szCs w:val="21"/>
        </w:rPr>
        <w:t xml:space="preserve">Weaver, D. L.; Ashikaga, T.; Krag, D. N. Effect of occult metastases on survival in node-negative breast cancer. </w:t>
      </w:r>
      <w:r>
        <w:rPr>
          <w:rFonts w:ascii="Times New Roman" w:hAnsi="Times New Roman" w:cs="Times New Roman"/>
          <w:i/>
          <w:iCs/>
          <w:szCs w:val="21"/>
        </w:rPr>
        <w:t>N. Engl. J. Med.</w:t>
      </w:r>
      <w:r>
        <w:rPr>
          <w:rFonts w:ascii="Times New Roman" w:hAnsi="Times New Roman" w:cs="Times New Roman"/>
          <w:szCs w:val="21"/>
        </w:rPr>
        <w:t xml:space="preserve"> </w:t>
      </w:r>
      <w:r>
        <w:rPr>
          <w:rFonts w:ascii="Times New Roman" w:hAnsi="Times New Roman" w:cs="Times New Roman"/>
          <w:b/>
          <w:bCs/>
          <w:szCs w:val="21"/>
        </w:rPr>
        <w:t>2011</w:t>
      </w:r>
      <w:r>
        <w:rPr>
          <w:rFonts w:ascii="Times New Roman" w:hAnsi="Times New Roman" w:cs="Times New Roman"/>
          <w:szCs w:val="21"/>
        </w:rPr>
        <w:t xml:space="preserve">, </w:t>
      </w:r>
      <w:r>
        <w:rPr>
          <w:rFonts w:ascii="Times New Roman" w:hAnsi="Times New Roman" w:cs="Times New Roman"/>
          <w:i/>
          <w:iCs/>
          <w:szCs w:val="21"/>
        </w:rPr>
        <w:t>364</w:t>
      </w:r>
      <w:r>
        <w:rPr>
          <w:rFonts w:ascii="Times New Roman" w:hAnsi="Times New Roman" w:cs="Times New Roman"/>
          <w:szCs w:val="21"/>
        </w:rPr>
        <w:t>, 412-421. DOI: 10.1056/NEJMoa1008108</w:t>
      </w:r>
    </w:p>
    <w:p w14:paraId="006062FF">
      <w:pPr>
        <w:rPr>
          <w:rFonts w:ascii="Times New Roman" w:hAnsi="Times New Roman" w:cs="Times New Roman"/>
          <w:szCs w:val="21"/>
        </w:rPr>
      </w:pPr>
    </w:p>
    <w:p w14:paraId="0CC2743B">
      <w:pPr>
        <w:rPr>
          <w:rFonts w:ascii="Times New Roman" w:hAnsi="Times New Roman" w:cs="Times New Roman"/>
          <w:b/>
          <w:bCs/>
          <w:szCs w:val="21"/>
        </w:rPr>
      </w:pPr>
      <w:r>
        <w:rPr>
          <w:rFonts w:ascii="Times New Roman" w:hAnsi="Times New Roman" w:cs="Times New Roman"/>
          <w:b/>
          <w:bCs/>
          <w:szCs w:val="21"/>
        </w:rPr>
        <w:t>Organization as author</w:t>
      </w:r>
    </w:p>
    <w:p w14:paraId="1AF1B9A1">
      <w:pPr>
        <w:rPr>
          <w:rFonts w:ascii="Times New Roman" w:hAnsi="Times New Roman" w:cs="Times New Roman"/>
          <w:szCs w:val="21"/>
        </w:rPr>
      </w:pPr>
      <w:r>
        <w:rPr>
          <w:rFonts w:ascii="Times New Roman" w:hAnsi="Times New Roman" w:cs="Times New Roman"/>
          <w:szCs w:val="21"/>
        </w:rPr>
        <w:t>Diabetes Prevention Program Research Group. Hypertension, insulin, and proinsulin in participants with impaired glucose tolerance. </w:t>
      </w:r>
      <w:r>
        <w:rPr>
          <w:rFonts w:ascii="Times New Roman" w:hAnsi="Times New Roman" w:cs="Times New Roman"/>
          <w:i/>
          <w:iCs/>
          <w:szCs w:val="21"/>
        </w:rPr>
        <w:t>Hypertension</w:t>
      </w:r>
      <w:r>
        <w:rPr>
          <w:rFonts w:ascii="Times New Roman" w:hAnsi="Times New Roman" w:cs="Times New Roman"/>
          <w:szCs w:val="21"/>
        </w:rPr>
        <w:t> </w:t>
      </w:r>
      <w:r>
        <w:rPr>
          <w:rFonts w:ascii="Times New Roman" w:hAnsi="Times New Roman" w:cs="Times New Roman"/>
          <w:b/>
          <w:bCs/>
          <w:szCs w:val="21"/>
        </w:rPr>
        <w:t>2002</w:t>
      </w:r>
      <w:r>
        <w:rPr>
          <w:rFonts w:ascii="Times New Roman" w:hAnsi="Times New Roman" w:cs="Times New Roman"/>
          <w:szCs w:val="21"/>
        </w:rPr>
        <w:t xml:space="preserve">, </w:t>
      </w:r>
      <w:r>
        <w:rPr>
          <w:rFonts w:ascii="Times New Roman" w:hAnsi="Times New Roman" w:cs="Times New Roman"/>
          <w:i/>
          <w:iCs/>
          <w:szCs w:val="21"/>
        </w:rPr>
        <w:t>40</w:t>
      </w:r>
      <w:r>
        <w:rPr>
          <w:rFonts w:ascii="Times New Roman" w:hAnsi="Times New Roman" w:cs="Times New Roman"/>
          <w:szCs w:val="21"/>
        </w:rPr>
        <w:t>, 679-686. DOI: 10.1161/01.HYP.0000035706.28494.09</w:t>
      </w:r>
    </w:p>
    <w:p w14:paraId="466B0E33">
      <w:pPr>
        <w:rPr>
          <w:rFonts w:ascii="Times New Roman" w:hAnsi="Times New Roman" w:cs="Times New Roman"/>
          <w:szCs w:val="21"/>
        </w:rPr>
      </w:pPr>
    </w:p>
    <w:p w14:paraId="140C9861">
      <w:pPr>
        <w:rPr>
          <w:rFonts w:ascii="Times New Roman" w:hAnsi="Times New Roman" w:cs="Times New Roman"/>
          <w:b/>
          <w:bCs/>
          <w:szCs w:val="21"/>
        </w:rPr>
      </w:pPr>
      <w:r>
        <w:rPr>
          <w:rFonts w:ascii="Times New Roman" w:hAnsi="Times New Roman" w:cs="Times New Roman"/>
          <w:b/>
          <w:bCs/>
          <w:szCs w:val="21"/>
        </w:rPr>
        <w:t>Both personal authors and organization as author</w:t>
      </w:r>
    </w:p>
    <w:p w14:paraId="423E74F0">
      <w:pPr>
        <w:rPr>
          <w:rFonts w:ascii="Times New Roman" w:hAnsi="Times New Roman" w:cs="Times New Roman"/>
          <w:szCs w:val="21"/>
        </w:rPr>
      </w:pPr>
      <w:r>
        <w:rPr>
          <w:rFonts w:ascii="Times New Roman" w:hAnsi="Times New Roman" w:cs="Times New Roman"/>
          <w:szCs w:val="21"/>
        </w:rPr>
        <w:t>Vallancien, G.; Emberton, M.; Harving, N.; van Moorselaar, R. J.; Alf-One Study Group. Sexual dysfunction in 1,274 European men suffering from lower urinary tract symptoms</w:t>
      </w:r>
      <w:r>
        <w:rPr>
          <w:rFonts w:ascii="Times New Roman" w:hAnsi="Times New Roman" w:cs="Times New Roman"/>
          <w:i/>
          <w:iCs/>
          <w:szCs w:val="21"/>
        </w:rPr>
        <w:t>. J. Urol. </w:t>
      </w:r>
      <w:r>
        <w:rPr>
          <w:rFonts w:ascii="Times New Roman" w:hAnsi="Times New Roman" w:cs="Times New Roman"/>
          <w:b/>
          <w:bCs/>
          <w:szCs w:val="21"/>
        </w:rPr>
        <w:t>2003</w:t>
      </w:r>
      <w:r>
        <w:rPr>
          <w:rFonts w:ascii="Times New Roman" w:hAnsi="Times New Roman" w:cs="Times New Roman"/>
          <w:szCs w:val="21"/>
        </w:rPr>
        <w:t xml:space="preserve">, </w:t>
      </w:r>
      <w:r>
        <w:rPr>
          <w:rFonts w:ascii="Times New Roman" w:hAnsi="Times New Roman" w:cs="Times New Roman"/>
          <w:i/>
          <w:iCs/>
          <w:szCs w:val="21"/>
        </w:rPr>
        <w:t>169</w:t>
      </w:r>
      <w:r>
        <w:rPr>
          <w:rFonts w:ascii="Times New Roman" w:hAnsi="Times New Roman" w:cs="Times New Roman"/>
          <w:szCs w:val="21"/>
        </w:rPr>
        <w:t>, 2257-2261. DOI: 10.1097/01.ju.0000067940.76090.73</w:t>
      </w:r>
    </w:p>
    <w:p w14:paraId="711901C3">
      <w:pPr>
        <w:rPr>
          <w:rFonts w:ascii="Times New Roman" w:hAnsi="Times New Roman" w:cs="Times New Roman"/>
          <w:szCs w:val="21"/>
        </w:rPr>
      </w:pPr>
    </w:p>
    <w:p w14:paraId="6765893A">
      <w:pPr>
        <w:rPr>
          <w:rFonts w:ascii="Times New Roman" w:hAnsi="Times New Roman" w:cs="Times New Roman"/>
          <w:b/>
          <w:bCs/>
          <w:szCs w:val="21"/>
        </w:rPr>
      </w:pPr>
      <w:r>
        <w:rPr>
          <w:rFonts w:ascii="Times New Roman" w:hAnsi="Times New Roman" w:cs="Times New Roman"/>
          <w:b/>
          <w:bCs/>
          <w:szCs w:val="21"/>
        </w:rPr>
        <w:t>Journal articles not in English</w:t>
      </w:r>
    </w:p>
    <w:p w14:paraId="3D4E6BC8">
      <w:pPr>
        <w:rPr>
          <w:rFonts w:ascii="Times New Roman" w:hAnsi="Times New Roman" w:cs="Times New Roman"/>
          <w:szCs w:val="21"/>
        </w:rPr>
      </w:pPr>
      <w:r>
        <w:rPr>
          <w:rFonts w:ascii="Times New Roman" w:hAnsi="Times New Roman" w:cs="Times New Roman"/>
          <w:szCs w:val="21"/>
        </w:rPr>
        <w:t>Zhang X.; Xiong H.; Ji T. Y.; Zhang Y. H.; Wang Y. Case report of anti-N-methyl-D-aspartate receptor encephalitis in child.</w:t>
      </w:r>
      <w:r>
        <w:rPr>
          <w:rFonts w:ascii="Times New Roman" w:hAnsi="Times New Roman" w:cs="Times New Roman"/>
          <w:i/>
          <w:iCs/>
          <w:szCs w:val="21"/>
        </w:rPr>
        <w:t xml:space="preserve"> J. Appl. Clin. Pediatr.</w:t>
      </w:r>
      <w:r>
        <w:rPr>
          <w:rFonts w:ascii="Times New Roman" w:hAnsi="Times New Roman" w:cs="Times New Roman"/>
          <w:szCs w:val="21"/>
        </w:rPr>
        <w:t> </w:t>
      </w:r>
      <w:r>
        <w:rPr>
          <w:rFonts w:ascii="Times New Roman" w:hAnsi="Times New Roman" w:cs="Times New Roman"/>
          <w:b/>
          <w:bCs/>
          <w:szCs w:val="21"/>
        </w:rPr>
        <w:t>2012</w:t>
      </w:r>
      <w:r>
        <w:rPr>
          <w:rFonts w:ascii="Times New Roman" w:hAnsi="Times New Roman" w:cs="Times New Roman"/>
          <w:szCs w:val="21"/>
        </w:rPr>
        <w:t xml:space="preserve">, </w:t>
      </w:r>
      <w:r>
        <w:rPr>
          <w:rFonts w:ascii="Times New Roman" w:hAnsi="Times New Roman" w:cs="Times New Roman"/>
          <w:i/>
          <w:iCs/>
          <w:szCs w:val="21"/>
        </w:rPr>
        <w:t>27</w:t>
      </w:r>
      <w:r>
        <w:rPr>
          <w:rFonts w:ascii="Times New Roman" w:hAnsi="Times New Roman" w:cs="Times New Roman"/>
          <w:szCs w:val="21"/>
        </w:rPr>
        <w:t>, 1903-1907. (in Chinese)</w:t>
      </w:r>
    </w:p>
    <w:p w14:paraId="0489BF36">
      <w:pPr>
        <w:rPr>
          <w:rFonts w:ascii="Times New Roman" w:hAnsi="Times New Roman" w:cs="Times New Roman"/>
          <w:szCs w:val="21"/>
        </w:rPr>
      </w:pPr>
    </w:p>
    <w:p w14:paraId="33792F25">
      <w:pPr>
        <w:rPr>
          <w:rFonts w:ascii="Times New Roman" w:hAnsi="Times New Roman" w:cs="Times New Roman"/>
          <w:b/>
          <w:bCs/>
          <w:szCs w:val="21"/>
        </w:rPr>
      </w:pPr>
      <w:r>
        <w:rPr>
          <w:rFonts w:ascii="Times New Roman" w:hAnsi="Times New Roman" w:cs="Times New Roman"/>
          <w:b/>
          <w:bCs/>
          <w:szCs w:val="21"/>
        </w:rPr>
        <w:t>Journal articles ahead of print</w:t>
      </w:r>
    </w:p>
    <w:p w14:paraId="4B125E94">
      <w:pPr>
        <w:rPr>
          <w:rFonts w:ascii="Times New Roman" w:hAnsi="Times New Roman" w:cs="Times New Roman"/>
          <w:szCs w:val="21"/>
        </w:rPr>
      </w:pPr>
      <w:r>
        <w:rPr>
          <w:rFonts w:ascii="Times New Roman" w:hAnsi="Times New Roman" w:cs="Times New Roman"/>
          <w:szCs w:val="21"/>
        </w:rPr>
        <w:t xml:space="preserve">Odibo, A. O. Falling stillbirth and neonatal mortality rates in twin gestation: not a reason for complacency. </w:t>
      </w:r>
      <w:r>
        <w:rPr>
          <w:rFonts w:ascii="Times New Roman" w:hAnsi="Times New Roman" w:cs="Times New Roman"/>
          <w:i/>
          <w:iCs/>
          <w:szCs w:val="21"/>
        </w:rPr>
        <w:t>BJOG</w:t>
      </w:r>
      <w:r>
        <w:rPr>
          <w:rFonts w:ascii="Times New Roman" w:hAnsi="Times New Roman" w:cs="Times New Roman"/>
          <w:szCs w:val="21"/>
        </w:rPr>
        <w:t xml:space="preserve">. </w:t>
      </w:r>
      <w:r>
        <w:rPr>
          <w:rFonts w:ascii="Times New Roman" w:hAnsi="Times New Roman" w:cs="Times New Roman"/>
          <w:b/>
          <w:bCs/>
          <w:szCs w:val="21"/>
        </w:rPr>
        <w:t>2018</w:t>
      </w:r>
      <w:r>
        <w:rPr>
          <w:rFonts w:ascii="Times New Roman" w:hAnsi="Times New Roman" w:cs="Times New Roman"/>
          <w:szCs w:val="21"/>
        </w:rPr>
        <w:t>, Epub ahead of print [DOI: 10.1111/1471-0528.15541]</w:t>
      </w:r>
    </w:p>
    <w:p w14:paraId="1AC34031">
      <w:pPr>
        <w:rPr>
          <w:rFonts w:ascii="Times New Roman" w:hAnsi="Times New Roman" w:eastAsia="Roboto" w:cs="Times New Roman"/>
          <w:color w:val="000000"/>
          <w:szCs w:val="21"/>
          <w:shd w:val="clear" w:color="auto" w:fill="FFFFFF"/>
        </w:rPr>
      </w:pPr>
    </w:p>
    <w:p w14:paraId="4F8244E8">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w:t>
      </w:r>
    </w:p>
    <w:p w14:paraId="539A5F75">
      <w:pPr>
        <w:jc w:val="left"/>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Oxford University Press, 2015. DOI: 10.1093/acprof:oso/9780198738671.001.0001</w:t>
      </w:r>
    </w:p>
    <w:p w14:paraId="644CE9E9">
      <w:pPr>
        <w:rPr>
          <w:rFonts w:ascii="Times New Roman" w:hAnsi="Times New Roman" w:eastAsia="Roboto" w:cs="Times New Roman"/>
          <w:color w:val="000000"/>
          <w:szCs w:val="21"/>
          <w:shd w:val="clear" w:color="auto" w:fill="FFFFFF"/>
        </w:rPr>
      </w:pPr>
    </w:p>
    <w:p w14:paraId="75B68AC0">
      <w:pPr>
        <w:rPr>
          <w:rFonts w:ascii="Times New Roman" w:hAnsi="Times New Roman" w:eastAsia="宋体"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Book in print</w:t>
      </w:r>
      <w:r>
        <w:rPr>
          <w:rFonts w:ascii="Times New Roman" w:hAnsi="Times New Roman" w:eastAsia="宋体" w:cs="Times New Roman"/>
          <w:b/>
          <w:bCs/>
          <w:color w:val="000000"/>
          <w:szCs w:val="21"/>
          <w:shd w:val="clear" w:color="auto" w:fill="FFFFFF"/>
        </w:rPr>
        <w:t xml:space="preserve"> </w:t>
      </w:r>
    </w:p>
    <w:p w14:paraId="76F5D24C">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Frankel, F. </w:t>
      </w:r>
      <w:r>
        <w:rPr>
          <w:rFonts w:ascii="Times New Roman" w:hAnsi="Times New Roman" w:eastAsia="Roboto" w:cs="Times New Roman"/>
          <w:i/>
          <w:iCs/>
          <w:color w:val="000000"/>
          <w:szCs w:val="21"/>
          <w:shd w:val="clear" w:color="auto" w:fill="FFFFFF"/>
        </w:rPr>
        <w:t>Picturing Science and Engineering</w:t>
      </w:r>
      <w:r>
        <w:rPr>
          <w:rFonts w:ascii="Times New Roman" w:hAnsi="Times New Roman" w:eastAsia="Roboto" w:cs="Times New Roman"/>
          <w:color w:val="000000"/>
          <w:szCs w:val="21"/>
          <w:shd w:val="clear" w:color="auto" w:fill="FFFFFF"/>
        </w:rPr>
        <w:t>; MIT Press, 2018.</w:t>
      </w:r>
    </w:p>
    <w:p w14:paraId="4F9192D6">
      <w:pPr>
        <w:rPr>
          <w:rFonts w:ascii="Times New Roman" w:hAnsi="Times New Roman" w:eastAsia="Roboto" w:cs="Times New Roman"/>
          <w:color w:val="000000"/>
          <w:szCs w:val="21"/>
          <w:shd w:val="clear" w:color="auto" w:fill="FFFFFF"/>
        </w:rPr>
      </w:pPr>
    </w:p>
    <w:p w14:paraId="1EBB04DE">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chapter</w:t>
      </w:r>
    </w:p>
    <w:p w14:paraId="07B68C6C">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 Crystal Symmetry. In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International Union of Crystallography Texts on Crystallography, Vol. 21; Oxford University Press, 2015; pp 99−134. DOI: 10.1093/acprof:oso/9780198738671.003.0004</w:t>
      </w:r>
    </w:p>
    <w:p w14:paraId="0135C190">
      <w:pPr>
        <w:rPr>
          <w:rFonts w:ascii="Times New Roman" w:hAnsi="Times New Roman" w:eastAsia="Roboto" w:cs="Times New Roman"/>
          <w:color w:val="000000"/>
          <w:szCs w:val="21"/>
          <w:shd w:val="clear" w:color="auto" w:fill="FFFFFF"/>
        </w:rPr>
      </w:pPr>
    </w:p>
    <w:p w14:paraId="064F58E1">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with editors</w:t>
      </w:r>
    </w:p>
    <w:p w14:paraId="2D115F9F">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Mom the Chemistry Professor: Personal Accounts and Advice from Chemistry Professors Who Are Mothers</w:t>
      </w:r>
      <w:r>
        <w:rPr>
          <w:rFonts w:ascii="Times New Roman" w:hAnsi="Times New Roman" w:eastAsia="Roboto" w:cs="Times New Roman"/>
          <w:color w:val="000000"/>
          <w:szCs w:val="21"/>
          <w:shd w:val="clear" w:color="auto" w:fill="FFFFFF"/>
        </w:rPr>
        <w:t>, 2nd ed.; Woznack, K., Charlebois, A., Cole, R. S., Marzabadi, C. H., Webster, G., Eds.; Springer, 2018. DOI: 10.1007/978-3-319-78972-9</w:t>
      </w:r>
    </w:p>
    <w:p w14:paraId="0E8E185C">
      <w:pPr>
        <w:rPr>
          <w:rFonts w:ascii="Times New Roman" w:hAnsi="Times New Roman" w:eastAsia="Roboto" w:cs="Times New Roman"/>
          <w:color w:val="000000"/>
          <w:szCs w:val="21"/>
          <w:shd w:val="clear" w:color="auto" w:fill="FFFFFF"/>
        </w:rPr>
      </w:pPr>
    </w:p>
    <w:p w14:paraId="7C494172">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series</w:t>
      </w:r>
    </w:p>
    <w:p w14:paraId="2160A791">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Gaede, H. C. Professional Development for REU Students. In </w:t>
      </w:r>
      <w:r>
        <w:rPr>
          <w:rFonts w:ascii="Times New Roman" w:hAnsi="Times New Roman" w:eastAsia="Roboto" w:cs="Times New Roman"/>
          <w:i/>
          <w:iCs/>
          <w:color w:val="000000"/>
          <w:szCs w:val="21"/>
          <w:shd w:val="clear" w:color="auto" w:fill="FFFFFF"/>
        </w:rPr>
        <w:t>Best Practices for Chemistry REU Programs</w:t>
      </w:r>
      <w:r>
        <w:rPr>
          <w:rFonts w:ascii="Times New Roman" w:hAnsi="Times New Roman" w:eastAsia="Roboto" w:cs="Times New Roman"/>
          <w:color w:val="000000"/>
          <w:szCs w:val="21"/>
          <w:shd w:val="clear" w:color="auto" w:fill="FFFFFF"/>
        </w:rPr>
        <w:t>; Griep, M. A, Watkins, L., Eds.; ACS Symposium Series, Vol. 1295; American Chemical Society, 2018; pp 33−44. DOI: 10.1021/bk-2018-1295.ch003</w:t>
      </w:r>
    </w:p>
    <w:p w14:paraId="14092C30">
      <w:pPr>
        <w:rPr>
          <w:rFonts w:ascii="Times New Roman" w:hAnsi="Times New Roman" w:eastAsia="Roboto" w:cs="Times New Roman"/>
          <w:color w:val="000000"/>
          <w:szCs w:val="21"/>
          <w:shd w:val="clear" w:color="auto" w:fill="FFFFFF"/>
        </w:rPr>
      </w:pPr>
    </w:p>
    <w:p w14:paraId="3EF0DDFE">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w:t>
      </w:r>
    </w:p>
    <w:p w14:paraId="398127B9">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Cable, M. L. Life in Extreme Environments: Lanthanide-Based Detection of Bacterial Spores and Other Sensor Design Pursuits. Ph.D. Dissertation, California Institute of Technology, Pasadena, CA, 2010. </w:t>
      </w:r>
      <w:r>
        <w:fldChar w:fldCharType="begin"/>
      </w:r>
      <w:r>
        <w:instrText xml:space="preserve"> HYPERLINK "http://resolver.caltech.edu/CaltechTHESIS:05102010-145436548" </w:instrText>
      </w:r>
      <w:r>
        <w:fldChar w:fldCharType="separate"/>
      </w:r>
      <w:r>
        <w:rPr>
          <w:rStyle w:val="15"/>
          <w:rFonts w:ascii="Times New Roman" w:hAnsi="Times New Roman" w:eastAsia="Roboto" w:cs="Times New Roman"/>
          <w:szCs w:val="21"/>
          <w:shd w:val="clear" w:color="auto" w:fill="FFFFFF"/>
        </w:rPr>
        <w:t>http://resolver.caltech.edu/CaltechTHESIS:05102010-145436548</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2019-09-10).</w:t>
      </w:r>
    </w:p>
    <w:p w14:paraId="2ADDC4DE">
      <w:pPr>
        <w:rPr>
          <w:rFonts w:ascii="Times New Roman" w:hAnsi="Times New Roman" w:eastAsia="Roboto" w:cs="Times New Roman"/>
          <w:color w:val="000000"/>
          <w:szCs w:val="21"/>
          <w:shd w:val="clear" w:color="auto" w:fill="FFFFFF"/>
        </w:rPr>
      </w:pPr>
    </w:p>
    <w:p w14:paraId="18D63844">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 in print</w:t>
      </w:r>
    </w:p>
    <w:p w14:paraId="6D394458">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Enander, R. T. Lead particulate and methylene chloride risks in automotive refinishing. Ph.D. Thesis, Tufts University, Medford, MA, 2001.</w:t>
      </w:r>
    </w:p>
    <w:p w14:paraId="48FFD449">
      <w:pPr>
        <w:rPr>
          <w:rFonts w:ascii="Times New Roman" w:hAnsi="Times New Roman" w:eastAsia="Roboto" w:cs="Times New Roman"/>
          <w:color w:val="000000"/>
          <w:szCs w:val="21"/>
          <w:shd w:val="clear" w:color="auto" w:fill="FFFFFF"/>
        </w:rPr>
      </w:pPr>
    </w:p>
    <w:p w14:paraId="197FD927">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Website</w:t>
      </w:r>
    </w:p>
    <w:p w14:paraId="58BA5E78">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World Health Organization Home Page</w:t>
      </w:r>
      <w:r>
        <w:rPr>
          <w:rFonts w:ascii="Times New Roman" w:hAnsi="Times New Roman" w:eastAsia="Roboto" w:cs="Times New Roman"/>
          <w:color w:val="000000"/>
          <w:szCs w:val="21"/>
          <w:shd w:val="clear" w:color="auto" w:fill="FFFFFF"/>
        </w:rPr>
        <w:t xml:space="preserve">. </w:t>
      </w:r>
      <w:r>
        <w:fldChar w:fldCharType="begin"/>
      </w:r>
      <w:r>
        <w:instrText xml:space="preserve"> HYPERLINK "https://www.who.int/" </w:instrText>
      </w:r>
      <w:r>
        <w:fldChar w:fldCharType="separate"/>
      </w:r>
      <w:r>
        <w:rPr>
          <w:rStyle w:val="15"/>
          <w:rFonts w:ascii="Times New Roman" w:hAnsi="Times New Roman" w:eastAsia="Roboto" w:cs="Times New Roman"/>
          <w:szCs w:val="21"/>
          <w:shd w:val="clear" w:color="auto" w:fill="FFFFFF"/>
        </w:rPr>
        <w:t>https://www.who.int/</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2019-02-21).</w:t>
      </w:r>
    </w:p>
    <w:p w14:paraId="00C70F5E">
      <w:pPr>
        <w:rPr>
          <w:rFonts w:ascii="Times New Roman" w:hAnsi="Times New Roman" w:eastAsia="Roboto" w:cs="Times New Roman"/>
          <w:color w:val="000000"/>
          <w:szCs w:val="21"/>
          <w:shd w:val="clear" w:color="auto" w:fill="FFFFFF"/>
        </w:rPr>
      </w:pPr>
    </w:p>
    <w:p w14:paraId="6FA54098">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Newspaper</w:t>
      </w:r>
    </w:p>
    <w:p w14:paraId="31ABF0F2">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Beauge, J. School district sued over burns girl suffered during chemistry class demonstration. </w:t>
      </w:r>
      <w:r>
        <w:rPr>
          <w:rFonts w:ascii="Times New Roman" w:hAnsi="Times New Roman" w:eastAsia="Roboto" w:cs="Times New Roman"/>
          <w:i/>
          <w:iCs/>
          <w:color w:val="000000"/>
          <w:szCs w:val="21"/>
          <w:shd w:val="clear" w:color="auto" w:fill="FFFFFF"/>
        </w:rPr>
        <w:t>PennLive (Harrisburg, PA)</w:t>
      </w:r>
      <w:r>
        <w:rPr>
          <w:rFonts w:ascii="Times New Roman" w:hAnsi="Times New Roman" w:eastAsia="Roboto" w:cs="Times New Roman"/>
          <w:color w:val="000000"/>
          <w:szCs w:val="21"/>
          <w:shd w:val="clear" w:color="auto" w:fill="FFFFFF"/>
        </w:rPr>
        <w:t xml:space="preserve">, November 17, 2018, updated November 17, 2018. </w:t>
      </w:r>
      <w:r>
        <w:fldChar w:fldCharType="begin"/>
      </w:r>
      <w:r>
        <w:instrText xml:space="preserve"> HYPERLINK "https://www.pennlive.com/news/2018/11/school_district_sued_over_burn.html" </w:instrText>
      </w:r>
      <w:r>
        <w:fldChar w:fldCharType="separate"/>
      </w:r>
      <w:r>
        <w:rPr>
          <w:rStyle w:val="15"/>
          <w:rFonts w:ascii="Times New Roman" w:hAnsi="Times New Roman" w:eastAsia="Roboto" w:cs="Times New Roman"/>
          <w:szCs w:val="21"/>
          <w:shd w:val="clear" w:color="auto" w:fill="FFFFFF"/>
        </w:rPr>
        <w:t>https://www.pennlive.com/news/2018/11/school_district_sued_over_burn.html</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2019-02-22).</w:t>
      </w:r>
    </w:p>
    <w:p w14:paraId="2C473E52">
      <w:pPr>
        <w:rPr>
          <w:rFonts w:ascii="Times New Roman" w:hAnsi="Times New Roman" w:eastAsia="Roboto" w:cs="Times New Roman"/>
          <w:color w:val="000000"/>
          <w:szCs w:val="21"/>
          <w:shd w:val="clear" w:color="auto" w:fill="FFFFFF"/>
        </w:rPr>
      </w:pPr>
    </w:p>
    <w:p w14:paraId="442E916D">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abstract</w:t>
      </w:r>
    </w:p>
    <w:p w14:paraId="498DE0EF">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Okita, J.; Iwamoto, T.; Kira, M. Novel synthetic route for hydrosilyllithiums. In </w:t>
      </w:r>
      <w:r>
        <w:rPr>
          <w:rFonts w:ascii="Times New Roman" w:hAnsi="Times New Roman" w:eastAsia="Roboto" w:cs="Times New Roman"/>
          <w:i/>
          <w:iCs/>
          <w:color w:val="000000"/>
          <w:szCs w:val="21"/>
          <w:shd w:val="clear" w:color="auto" w:fill="FFFFFF"/>
        </w:rPr>
        <w:t>Book of Abstracts, 2000 International Chemical Congress of Pacific Basin Societies (PACIFICHEM 2000)</w:t>
      </w:r>
      <w:r>
        <w:rPr>
          <w:rFonts w:ascii="Times New Roman" w:hAnsi="Times New Roman" w:eastAsia="Roboto" w:cs="Times New Roman"/>
          <w:color w:val="000000"/>
          <w:szCs w:val="21"/>
          <w:shd w:val="clear" w:color="auto" w:fill="FFFFFF"/>
        </w:rPr>
        <w:t>, Honolulu, HI; Paper INOR 216.</w:t>
      </w:r>
    </w:p>
    <w:p w14:paraId="62FAFE99">
      <w:pPr>
        <w:rPr>
          <w:rFonts w:ascii="Times New Roman" w:hAnsi="Times New Roman" w:eastAsia="Roboto" w:cs="Times New Roman"/>
          <w:color w:val="000000"/>
          <w:szCs w:val="21"/>
          <w:shd w:val="clear" w:color="auto" w:fill="FFFFFF"/>
        </w:rPr>
      </w:pPr>
    </w:p>
    <w:p w14:paraId="52062240">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proceedings</w:t>
      </w:r>
    </w:p>
    <w:p w14:paraId="505CD5F4">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Cs w:val="21"/>
          <w:shd w:val="clear" w:color="auto" w:fill="FFFFFF"/>
        </w:rPr>
        <w:t>Micro Total Analysis Systems 2002, Proceedings of the μTAS 2002 Symposium</w:t>
      </w:r>
      <w:r>
        <w:rPr>
          <w:rFonts w:ascii="Times New Roman" w:hAnsi="Times New Roman" w:eastAsia="Roboto" w:cs="Times New Roman"/>
          <w:color w:val="000000"/>
          <w:szCs w:val="21"/>
          <w:shd w:val="clear" w:color="auto" w:fill="FFFFFF"/>
        </w:rPr>
        <w:t>, Nara, Japan, November 3−7, 2002; Baba, Y., Shoji, S., van den Berg, A., Eds.; Kluwer Academic Publishers: Dordrecht, The Netherlands, 2002; Vol. 2, pp 751−753. DOI: 10.1007/978-94-010-0504-3_50</w:t>
      </w:r>
    </w:p>
    <w:p w14:paraId="1488D047">
      <w:pPr>
        <w:rPr>
          <w:rFonts w:ascii="Times New Roman" w:hAnsi="Times New Roman" w:eastAsia="Roboto" w:cs="Times New Roman"/>
          <w:color w:val="000000"/>
          <w:szCs w:val="21"/>
          <w:shd w:val="clear" w:color="auto" w:fill="FFFFFF"/>
        </w:rPr>
      </w:pPr>
    </w:p>
    <w:p w14:paraId="5FAAF714">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Database</w:t>
      </w:r>
    </w:p>
    <w:p w14:paraId="3CD59873">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SpectraBase</w:t>
      </w:r>
      <w:r>
        <w:rPr>
          <w:rFonts w:ascii="Times New Roman" w:hAnsi="Times New Roman" w:eastAsia="Roboto" w:cs="Times New Roman"/>
          <w:color w:val="000000"/>
          <w:szCs w:val="21"/>
          <w:shd w:val="clear" w:color="auto" w:fill="FFFFFF"/>
        </w:rPr>
        <w:t xml:space="preserve">. Bio-Rad Laboratories. </w:t>
      </w:r>
      <w:r>
        <w:fldChar w:fldCharType="begin"/>
      </w:r>
      <w:r>
        <w:instrText xml:space="preserve"> HYPERLINK "https://spectrabase.com/" </w:instrText>
      </w:r>
      <w:r>
        <w:fldChar w:fldCharType="separate"/>
      </w:r>
      <w:r>
        <w:rPr>
          <w:rStyle w:val="15"/>
          <w:rFonts w:ascii="Times New Roman" w:hAnsi="Times New Roman" w:eastAsia="Roboto" w:cs="Times New Roman"/>
          <w:szCs w:val="21"/>
          <w:shd w:val="clear" w:color="auto" w:fill="FFFFFF"/>
        </w:rPr>
        <w:t xml:space="preserve">https://spectrabase.com/ </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(accessed 2020-01-05).</w:t>
      </w:r>
    </w:p>
    <w:p w14:paraId="694659FA">
      <w:pPr>
        <w:rPr>
          <w:rFonts w:ascii="Times New Roman" w:hAnsi="Times New Roman" w:eastAsia="Roboto" w:cs="Times New Roman"/>
          <w:color w:val="000000"/>
          <w:szCs w:val="21"/>
          <w:shd w:val="clear" w:color="auto" w:fill="FFFFFF"/>
        </w:rPr>
      </w:pPr>
    </w:p>
    <w:p w14:paraId="4AF6C2BB">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Patent</w:t>
      </w:r>
    </w:p>
    <w:p w14:paraId="779963E3">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Stern, M. K.; Cheng, B. K. M. Process for preparing N-(p-nitroaryl)amides via reaction of nitrobenzene with nitriles. US 5380946, 1995.</w:t>
      </w:r>
    </w:p>
    <w:p w14:paraId="5299E124">
      <w:pPr>
        <w:rPr>
          <w:rFonts w:ascii="Times New Roman" w:hAnsi="Times New Roman" w:eastAsia="Roboto" w:cs="Times New Roman"/>
          <w:color w:val="000000"/>
          <w:szCs w:val="21"/>
          <w:shd w:val="clear" w:color="auto" w:fill="FFFFFF"/>
        </w:rPr>
      </w:pPr>
    </w:p>
    <w:p w14:paraId="745F0EA5">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Preprint</w:t>
      </w:r>
    </w:p>
    <w:p w14:paraId="7DC1D7B5">
      <w:pPr>
        <w:rPr>
          <w:rFonts w:ascii="Times New Roman" w:hAnsi="Times New Roman" w:eastAsia="Helvetica" w:cs="Times New Roman"/>
          <w:color w:val="222222"/>
          <w:szCs w:val="21"/>
          <w:shd w:val="clear" w:color="auto" w:fill="FFFFFF"/>
        </w:rPr>
      </w:pPr>
      <w:r>
        <w:rPr>
          <w:rFonts w:ascii="Times New Roman" w:hAnsi="Times New Roman" w:eastAsia="Roboto" w:cs="Times New Roman"/>
          <w:color w:val="000000"/>
          <w:szCs w:val="21"/>
          <w:shd w:val="clear" w:color="auto" w:fill="FFFFFF"/>
        </w:rPr>
        <w:t>Yamamoto</w:t>
      </w:r>
      <w:r>
        <w:rPr>
          <w:rFonts w:ascii="Times New Roman" w:hAnsi="Times New Roman" w:eastAsia="宋体" w:cs="Times New Roman"/>
          <w:color w:val="000000"/>
          <w:szCs w:val="21"/>
          <w:shd w:val="clear" w:color="auto" w:fill="FFFFFF"/>
        </w:rPr>
        <w:t xml:space="preserve"> T. S.;</w:t>
      </w:r>
      <w:r>
        <w:rPr>
          <w:rFonts w:ascii="Times New Roman" w:hAnsi="Times New Roman" w:eastAsia="Roboto" w:cs="Times New Roman"/>
          <w:color w:val="000000"/>
          <w:szCs w:val="21"/>
          <w:shd w:val="clear" w:color="auto" w:fill="FFFFFF"/>
        </w:rPr>
        <w:t xml:space="preserve"> Inui</w:t>
      </w:r>
      <w:r>
        <w:rPr>
          <w:rFonts w:ascii="Times New Roman" w:hAnsi="Times New Roman" w:eastAsia="宋体" w:cs="Times New Roman"/>
          <w:color w:val="000000"/>
          <w:szCs w:val="21"/>
          <w:shd w:val="clear" w:color="auto" w:fill="FFFFFF"/>
        </w:rPr>
        <w:t xml:space="preserve"> R.;</w:t>
      </w:r>
      <w:r>
        <w:rPr>
          <w:rFonts w:ascii="Times New Roman" w:hAnsi="Times New Roman" w:eastAsia="Roboto" w:cs="Times New Roman"/>
          <w:color w:val="000000"/>
          <w:szCs w:val="21"/>
          <w:shd w:val="clear" w:color="auto" w:fill="FFFFFF"/>
        </w:rPr>
        <w:t xml:space="preserve"> Tada</w:t>
      </w:r>
      <w:r>
        <w:rPr>
          <w:rFonts w:ascii="Times New Roman" w:hAnsi="Times New Roman" w:eastAsia="宋体" w:cs="Times New Roman"/>
          <w:color w:val="000000"/>
          <w:szCs w:val="21"/>
          <w:shd w:val="clear" w:color="auto" w:fill="FFFFFF"/>
        </w:rPr>
        <w:t xml:space="preserve"> Y.;</w:t>
      </w:r>
      <w:r>
        <w:rPr>
          <w:rFonts w:ascii="Times New Roman" w:hAnsi="Times New Roman" w:eastAsia="Roboto" w:cs="Times New Roman"/>
          <w:color w:val="000000"/>
          <w:szCs w:val="21"/>
          <w:shd w:val="clear" w:color="auto" w:fill="FFFFFF"/>
        </w:rPr>
        <w:t xml:space="preserve"> Yokoyama</w:t>
      </w:r>
      <w:r>
        <w:rPr>
          <w:rFonts w:ascii="Times New Roman" w:hAnsi="Times New Roman" w:eastAsia="宋体" w:cs="Times New Roman"/>
          <w:color w:val="000000"/>
          <w:szCs w:val="21"/>
          <w:shd w:val="clear" w:color="auto" w:fill="FFFFFF"/>
        </w:rPr>
        <w:t xml:space="preserve"> S</w:t>
      </w:r>
      <w:r>
        <w:rPr>
          <w:rFonts w:ascii="Times New Roman" w:hAnsi="Times New Roman" w:eastAsia="Roboto" w:cs="Times New Roman"/>
          <w:color w:val="000000"/>
          <w:szCs w:val="21"/>
          <w:shd w:val="clear" w:color="auto" w:fill="FFFFFF"/>
        </w:rPr>
        <w:t>. Prospects of detection of subsolar mass primordial black hole and white dwarf binary mergers. </w:t>
      </w:r>
      <w:r>
        <w:rPr>
          <w:rFonts w:ascii="Times New Roman" w:hAnsi="Times New Roman" w:eastAsia="Roboto" w:cs="Times New Roman"/>
          <w:i/>
          <w:iCs/>
          <w:color w:val="000000"/>
          <w:szCs w:val="21"/>
          <w:shd w:val="clear" w:color="auto" w:fill="FFFFFF"/>
        </w:rPr>
        <w:t>arXiv</w:t>
      </w:r>
      <w:r>
        <w:rPr>
          <w:rFonts w:ascii="Times New Roman" w:hAnsi="Times New Roman" w:eastAsia="Roboto" w:cs="Times New Roman"/>
          <w:color w:val="000000"/>
          <w:szCs w:val="21"/>
          <w:shd w:val="clear" w:color="auto" w:fill="FFFFFF"/>
        </w:rPr>
        <w:t> </w:t>
      </w:r>
      <w:r>
        <w:rPr>
          <w:rFonts w:ascii="Times New Roman" w:hAnsi="Times New Roman" w:eastAsia="Roboto" w:cs="Times New Roman"/>
          <w:b/>
          <w:bCs/>
          <w:color w:val="000000"/>
          <w:szCs w:val="21"/>
          <w:shd w:val="clear" w:color="auto" w:fill="FFFFFF"/>
        </w:rPr>
        <w:t>2004</w:t>
      </w:r>
      <w:r>
        <w:rPr>
          <w:rFonts w:ascii="Times New Roman" w:hAnsi="Times New Roman" w:eastAsia="Roboto" w:cs="Times New Roman"/>
          <w:color w:val="000000"/>
          <w:szCs w:val="21"/>
          <w:shd w:val="clear" w:color="auto" w:fill="FFFFFF"/>
        </w:rPr>
        <w:t xml:space="preserve">, arXiv:2401.00044. Available online: </w:t>
      </w:r>
      <w:r>
        <w:fldChar w:fldCharType="begin"/>
      </w:r>
      <w:r>
        <w:instrText xml:space="preserve"> HYPERLINK "https://arxiv.org/abs/2401.00044" </w:instrText>
      </w:r>
      <w:r>
        <w:fldChar w:fldCharType="separate"/>
      </w:r>
      <w:r>
        <w:rPr>
          <w:rStyle w:val="15"/>
          <w:rFonts w:ascii="Times New Roman" w:hAnsi="Times New Roman" w:eastAsia="Roboto" w:cs="Times New Roman"/>
          <w:szCs w:val="21"/>
          <w:shd w:val="clear" w:color="auto" w:fill="FFFFFF"/>
        </w:rPr>
        <w:t xml:space="preserve">https://arxiv.org/abs/2401.00044 </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(accessed </w:t>
      </w:r>
      <w:r>
        <w:rPr>
          <w:rFonts w:ascii="Times New Roman" w:hAnsi="Times New Roman" w:eastAsia="宋体" w:cs="Times New Roman"/>
          <w:color w:val="000000"/>
          <w:szCs w:val="21"/>
          <w:shd w:val="clear" w:color="auto" w:fill="FFFFFF"/>
        </w:rPr>
        <w:t>29</w:t>
      </w:r>
      <w:r>
        <w:rPr>
          <w:rFonts w:ascii="Times New Roman" w:hAnsi="Times New Roman" w:eastAsia="Roboto" w:cs="Times New Roman"/>
          <w:color w:val="000000"/>
          <w:szCs w:val="21"/>
          <w:shd w:val="clear" w:color="auto" w:fill="FFFFFF"/>
        </w:rPr>
        <w:t xml:space="preserve"> </w:t>
      </w:r>
      <w:r>
        <w:rPr>
          <w:rFonts w:ascii="Times New Roman" w:hAnsi="Times New Roman" w:eastAsia="宋体" w:cs="Times New Roman"/>
          <w:color w:val="000000"/>
          <w:szCs w:val="21"/>
          <w:shd w:val="clear" w:color="auto" w:fill="FFFFFF"/>
        </w:rPr>
        <w:t>Decemeber</w:t>
      </w:r>
      <w:r>
        <w:rPr>
          <w:rFonts w:ascii="Times New Roman" w:hAnsi="Times New Roman" w:eastAsia="Roboto" w:cs="Times New Roman"/>
          <w:color w:val="000000"/>
          <w:szCs w:val="21"/>
          <w:shd w:val="clear" w:color="auto" w:fill="FFFFFF"/>
        </w:rPr>
        <w:t xml:space="preserve"> 20</w:t>
      </w:r>
      <w:r>
        <w:rPr>
          <w:rFonts w:ascii="Times New Roman" w:hAnsi="Times New Roman" w:eastAsia="宋体" w:cs="Times New Roman"/>
          <w:color w:val="000000"/>
          <w:szCs w:val="21"/>
          <w:shd w:val="clear" w:color="auto" w:fill="FFFFFF"/>
        </w:rPr>
        <w:t>23</w:t>
      </w:r>
      <w:r>
        <w:rPr>
          <w:rFonts w:ascii="Times New Roman" w:hAnsi="Times New Roman" w:eastAsia="Roboto" w:cs="Times New Roman"/>
          <w:color w:val="000000"/>
          <w:szCs w:val="21"/>
          <w:shd w:val="clear" w:color="auto" w:fill="FFFFFF"/>
        </w:rPr>
        <w:t>).</w:t>
      </w:r>
      <w:r>
        <w:rPr>
          <w:rFonts w:ascii="Times New Roman" w:hAnsi="Times New Roman" w:eastAsia="宋体" w:cs="Times New Roman"/>
          <w:color w:val="000000"/>
          <w:szCs w:val="21"/>
          <w:shd w:val="clear" w:color="auto" w:fill="FFFFFF"/>
        </w:rPr>
        <w:t xml:space="preserve"> </w:t>
      </w:r>
    </w:p>
    <w:p w14:paraId="144A989F">
      <w:pPr>
        <w:adjustRightInd w:val="0"/>
        <w:snapToGrid w:val="0"/>
        <w:spacing w:line="360" w:lineRule="auto"/>
        <w:jc w:val="left"/>
        <w:rPr>
          <w:rFonts w:ascii="Times New Roman" w:hAnsi="Times New Roman" w:cs="Times New Roman"/>
          <w:sz w:val="24"/>
        </w:rPr>
      </w:pPr>
    </w:p>
    <w:p w14:paraId="0CCDC4EF">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(list top three authors)</w:t>
      </w:r>
    </w:p>
    <w:p w14:paraId="4D08CF01">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Author 1 AB, Author 2 CD, et al. Title of the article. Abbreviated Journal Name Year; Issue: page range. [DOI: xxxxxx] </w:t>
      </w:r>
    </w:p>
    <w:p w14:paraId="65FA2C75">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(organization as author)</w:t>
      </w:r>
    </w:p>
    <w:p w14:paraId="49886F34">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XXX Research Group. Title of the article. Journal Name Year;Volume:page range. [DOI:xxxx]</w:t>
      </w:r>
    </w:p>
    <w:p w14:paraId="121EEA8C">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(both personal authors and organization as author)</w:t>
      </w:r>
    </w:p>
    <w:p w14:paraId="4718A95E">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XXX Study Group. Title of the article. Journal Name Year;Volume:page range. [DOI: xxxxxx]</w:t>
      </w:r>
    </w:p>
    <w:p w14:paraId="182650F2">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not in English (the title should be translated into English, and clarify the original language in the bracket)</w:t>
      </w:r>
    </w:p>
    <w:p w14:paraId="10FC0692">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Issue: page range. (in Which language)</w:t>
      </w:r>
    </w:p>
    <w:p w14:paraId="2F94BA6D">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ahead of print (DOI number should be given)</w:t>
      </w:r>
    </w:p>
    <w:p w14:paraId="77C0A197">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Epub ahead of print [DOI: xxxxxx]</w:t>
      </w:r>
    </w:p>
    <w:p w14:paraId="34040E53">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Books</w:t>
      </w:r>
    </w:p>
    <w:p w14:paraId="1AA6525B">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3rd ed. Oxford: Publisher; 2008. pp. 154-196.</w:t>
      </w:r>
    </w:p>
    <w:p w14:paraId="79B23C7B">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Chapter in a book</w:t>
      </w:r>
    </w:p>
    <w:p w14:paraId="45C72934">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In: Editor 1 C, Editor 2 D, editors. Title of chapter. New York: Publisher; 2002. pp. 93-113.</w:t>
      </w:r>
    </w:p>
    <w:p w14:paraId="048486BD">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Online resource</w:t>
      </w:r>
    </w:p>
    <w:p w14:paraId="6B31A1C7">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Title of Site. Title of the article. Available from: URL. [Last accessed on Day Month Year]</w:t>
      </w:r>
    </w:p>
    <w:p w14:paraId="6A183412">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proceedings</w:t>
      </w:r>
    </w:p>
    <w:p w14:paraId="3D927C38">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Editor 1 AB, Editor 2 CD. Title of Presentation. Proceedings of the Name of the Conference; 2001 Sep 13-15; Leeds, UK. New York: Publisher; 2002.</w:t>
      </w:r>
    </w:p>
    <w:p w14:paraId="37B4367A">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paper</w:t>
      </w:r>
    </w:p>
    <w:p w14:paraId="179AC0C3">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In: Editor 1 C, Editor 2 D, editors. Name of the Conference 2002: Proceedings of the Name of the Conference; 2002 Apr 3-5; Kinsdale, Ireland. Berlin: Publisher; 2002. pp. 182-91.</w:t>
      </w:r>
    </w:p>
    <w:p w14:paraId="26E1B589">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Unpublished material</w:t>
      </w:r>
    </w:p>
    <w:p w14:paraId="53FA1D20">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Abbreviated Journal Name Country. Forthcoming Year.</w:t>
      </w:r>
      <w:bookmarkEnd w:id="15"/>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 w:name="Helvetica">
    <w:altName w:val="Arial"/>
    <w:panose1 w:val="020B0604020202020204"/>
    <w:charset w:val="00"/>
    <w:family w:val="auto"/>
    <w:pitch w:val="default"/>
    <w:sig w:usb0="00000000" w:usb1="00000000" w:usb2="00000000" w:usb3="00000000" w:csb0="00000093" w:csb1="00000000"/>
  </w:font>
  <w:font w:name="Palatino Linotype">
    <w:panose1 w:val="02040502050505030304"/>
    <w:charset w:val="00"/>
    <w:family w:val="roman"/>
    <w:pitch w:val="default"/>
    <w:sig w:usb0="E0000287" w:usb1="40000013"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653E2">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50D96">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3877E">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60288"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hint="eastAsia" w:ascii="Times New Roman" w:hAnsi="Times New Roman" w:cs="Times New Roman"/>
        <w:snapToGrid w:val="0"/>
        <w:sz w:val="12"/>
        <w:szCs w:val="12"/>
      </w:rPr>
      <w:t>202</w:t>
    </w:r>
    <w:r>
      <w:rPr>
        <w:rFonts w:hint="eastAsia" w:ascii="Times New Roman" w:hAnsi="Times New Roman" w:cs="Times New Roman"/>
        <w:snapToGrid w:val="0"/>
        <w:sz w:val="12"/>
        <w:szCs w:val="12"/>
        <w:lang w:val="en-US" w:eastAsia="zh-CN"/>
      </w:rPr>
      <w:t>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08E1BB4D">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56DB3A3C">
    <w:pPr>
      <w:adjustRightInd w:val="0"/>
      <w:snapToGrid w:val="0"/>
      <w:spacing w:before="240" w:line="260" w:lineRule="atLeast"/>
      <w:rPr>
        <w:rStyle w:val="15"/>
        <w:rFonts w:hint="eastAsia" w:eastAsiaTheme="minorEastAsia"/>
        <w:lang w:val="en-US" w:eastAsia="zh-CN"/>
      </w:rPr>
    </w:pPr>
    <w:r>
      <w:drawing>
        <wp:inline distT="0" distB="0" distL="114300" distR="114300">
          <wp:extent cx="888365" cy="290195"/>
          <wp:effectExtent l="0" t="0" r="6985" b="5080"/>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bookmarkStart w:id="17" w:name="_GoBack"/>
    <w:bookmarkEnd w:id="17"/>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color w:val="auto"/>
        <w:u w:val="none"/>
      </w:rPr>
      <w:fldChar w:fldCharType="begin"/>
    </w:r>
    <w:r>
      <w:rPr>
        <w:b/>
        <w:bCs/>
        <w:color w:val="auto"/>
        <w:u w:val="none"/>
      </w:rPr>
      <w:instrText xml:space="preserve"> HYPERLINK "https://www.oaepublish.com/energyz" </w:instrText>
    </w:r>
    <w:r>
      <w:rPr>
        <w:b/>
        <w:bCs/>
        <w:color w:val="auto"/>
        <w:u w:val="none"/>
      </w:rPr>
      <w:fldChar w:fldCharType="separate"/>
    </w:r>
    <w:r>
      <w:rPr>
        <w:rFonts w:hint="eastAsia"/>
        <w:b/>
        <w:bCs/>
        <w:sz w:val="16"/>
        <w:szCs w:val="16"/>
      </w:rPr>
      <w:fldChar w:fldCharType="begin"/>
    </w:r>
    <w:r>
      <w:rPr>
        <w:rFonts w:hint="eastAsia"/>
        <w:b/>
        <w:bCs/>
        <w:sz w:val="16"/>
        <w:szCs w:val="16"/>
      </w:rPr>
      <w:instrText xml:space="preserve"> HYPERLINK "https://www.oaepublish.com/aiagent" </w:instrText>
    </w:r>
    <w:r>
      <w:rPr>
        <w:rFonts w:hint="eastAsia"/>
        <w:b/>
        <w:bCs/>
        <w:sz w:val="16"/>
        <w:szCs w:val="16"/>
      </w:rPr>
      <w:fldChar w:fldCharType="separate"/>
    </w:r>
    <w:r>
      <w:rPr>
        <w:rStyle w:val="15"/>
        <w:rFonts w:hint="eastAsia"/>
        <w:b/>
        <w:bCs/>
        <w:sz w:val="16"/>
        <w:szCs w:val="16"/>
      </w:rPr>
      <w:t>https://www.oaepublish.com/</w:t>
    </w:r>
    <w:r>
      <w:rPr>
        <w:rStyle w:val="15"/>
        <w:rFonts w:hint="eastAsia"/>
        <w:b/>
        <w:bCs/>
        <w:sz w:val="16"/>
        <w:szCs w:val="16"/>
        <w:lang w:val="en-US" w:eastAsia="zh-CN"/>
      </w:rPr>
      <w:t>b</w:t>
    </w:r>
    <w:r>
      <w:rPr>
        <w:rFonts w:hint="eastAsia"/>
        <w:b/>
        <w:bCs/>
        <w:sz w:val="16"/>
        <w:szCs w:val="16"/>
      </w:rPr>
      <w:fldChar w:fldCharType="end"/>
    </w:r>
    <w:r>
      <w:rPr>
        <w:rFonts w:hint="eastAsia"/>
        <w:b/>
        <w:bCs/>
        <w:sz w:val="16"/>
        <w:szCs w:val="16"/>
        <w:lang w:val="en-US" w:eastAsia="zh-CN"/>
      </w:rPr>
      <w:t>i</w:t>
    </w:r>
  </w:p>
  <w:p w14:paraId="56501A42">
    <w:pPr>
      <w:pStyle w:val="6"/>
      <w:jc w:val="both"/>
    </w:pPr>
    <w:r>
      <w:rPr>
        <w:b/>
        <w:bCs/>
        <w:color w:val="auto"/>
        <w:u w:val="none"/>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A3C54">
    <w:pPr>
      <w:keepNext w:val="0"/>
      <w:keepLines w:val="0"/>
      <w:widowControl/>
      <w:suppressLineNumbers w:val="0"/>
      <w:spacing w:before="0" w:beforeAutospacing="0" w:after="0" w:afterAutospacing="0"/>
      <w:ind w:left="0" w:right="0"/>
      <w:jc w:val="both"/>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ascii="Times New Roman" w:hAnsi="Times New Roman" w:cs="Times New Roman"/>
        <w:sz w:val="16"/>
        <w:szCs w:val="16"/>
      </w:rPr>
      <w:t xml:space="preserve"> </w:t>
    </w:r>
    <w:r>
      <w:rPr>
        <w:rFonts w:hint="eastAsia" w:ascii="Times New Roman" w:hAnsi="Times New Roman" w:cs="Times New Roman"/>
        <w:i/>
        <w:iCs/>
        <w:sz w:val="16"/>
        <w:szCs w:val="16"/>
        <w:lang w:val="en-US" w:eastAsia="zh-CN"/>
      </w:rPr>
      <w:t>Bio-inspir. Intell</w:t>
    </w:r>
    <w:r>
      <w:rPr>
        <w:rFonts w:ascii="Times New Roman" w:hAnsi="Times New Roman" w:cs="Times New Roman"/>
        <w:i/>
        <w:iCs/>
        <w:sz w:val="14"/>
        <w:szCs w:val="14"/>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4"/>
        <w:szCs w:val="14"/>
        <w:lang w:val="en-US" w:eastAsia="zh-CN"/>
      </w:rPr>
      <w:t>bi</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p>
  <w:p w14:paraId="2FB909A4">
    <w:pPr>
      <w:pStyle w:val="6"/>
      <w:adjustRightInd w:val="0"/>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8AF79">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default" w:ascii="Times New Roman" w:hAnsi="Times New Roman" w:eastAsia="宋体" w:cs="Times New Roman"/>
        <w:i/>
        <w:iCs/>
        <w:kern w:val="2"/>
        <w:sz w:val="16"/>
        <w:szCs w:val="16"/>
        <w:lang w:val="en-US" w:eastAsia="zh-CN" w:bidi="ar"/>
      </w:rPr>
      <w:t>AI Agent</w:t>
    </w:r>
    <w:r>
      <w:rPr>
        <w:rFonts w:ascii="Times New Roman" w:hAnsi="Times New Roman" w:cs="Times New Roman"/>
        <w:i/>
        <w:iCs/>
        <w:sz w:val="14"/>
        <w:szCs w:val="14"/>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4"/>
        <w:szCs w:val="14"/>
        <w:lang w:val="en-US" w:eastAsia="zh-CN"/>
      </w:rPr>
      <w:t>aiagent</w:t>
    </w:r>
    <w:r>
      <w:rPr>
        <w:rFonts w:ascii="Times New Roman" w:hAnsi="Times New Roman" w:cs="Times New Roman"/>
        <w:sz w:val="14"/>
        <w:szCs w:val="14"/>
      </w:rPr>
      <w:t>.202</w:t>
    </w:r>
    <w:r>
      <w:rPr>
        <w:rFonts w:hint="eastAsia" w:ascii="Times New Roman" w:hAnsi="Times New Roman" w:cs="Times New Roman"/>
        <w:sz w:val="14"/>
        <w:szCs w:val="14"/>
        <w:lang w:val="en-US" w:eastAsia="zh-CN"/>
      </w:rPr>
      <w:t>5</w:t>
    </w:r>
    <w:r>
      <w:rPr>
        <w:rFonts w:ascii="Times New Roman" w:hAnsi="Times New Roman" w:cs="Times New Roman"/>
        <w:sz w:val="14"/>
        <w:szCs w:val="14"/>
      </w:rPr>
      <w:t>.xx</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2BD84">
    <w:pPr>
      <w:pStyle w:val="6"/>
    </w:pPr>
    <w:bookmarkStart w:id="16" w:name="OLE_LINK5"/>
    <w:r>
      <mc:AlternateContent>
        <mc:Choice Requires="wps">
          <w:drawing>
            <wp:anchor distT="0" distB="0" distL="114300" distR="114300" simplePos="0" relativeHeight="251659264" behindDoc="0" locked="0" layoutInCell="1" allowOverlap="1">
              <wp:simplePos x="0" y="0"/>
              <wp:positionH relativeFrom="column">
                <wp:posOffset>2726055</wp:posOffset>
              </wp:positionH>
              <wp:positionV relativeFrom="paragraph">
                <wp:posOffset>-36195</wp:posOffset>
              </wp:positionV>
              <wp:extent cx="2642235"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2642235" cy="481965"/>
                      </a:xfrm>
                      <a:prstGeom prst="rect">
                        <a:avLst/>
                      </a:prstGeom>
                      <a:solidFill>
                        <a:srgbClr val="FFFFFF">
                          <a:alpha val="0"/>
                        </a:srgbClr>
                      </a:solidFill>
                      <a:ln>
                        <a:noFill/>
                      </a:ln>
                    </wps:spPr>
                    <wps:txbx>
                      <w:txbxContent>
                        <w:p w14:paraId="78516018">
                          <w:pPr>
                            <w:wordWrap w:val="0"/>
                            <w:jc w:val="both"/>
                            <w:rPr>
                              <w:rFonts w:hint="eastAsia" w:eastAsiaTheme="minorEastAsia"/>
                              <w:sz w:val="32"/>
                              <w:szCs w:val="32"/>
                              <w:lang w:eastAsia="zh-CN"/>
                            </w:rPr>
                          </w:pPr>
                          <w:r>
                            <w:rPr>
                              <w:rFonts w:hint="eastAsia" w:ascii="Arial" w:hAnsi="Arial"/>
                              <w:b/>
                              <w:color w:val="003F9A"/>
                              <w:sz w:val="32"/>
                              <w:szCs w:val="32"/>
                              <w:lang w:val="en-US" w:eastAsia="zh-CN"/>
                            </w:rPr>
                            <w:t>Bio-inspired Intelligence</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14.65pt;margin-top:-2.85pt;height:37.95pt;width:208.05pt;z-index:251659264;mso-width-relative:page;mso-height-relative:page;" fillcolor="#FFFFFF" filled="t" stroked="f" coordsize="21600,21600" o:gfxdata="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Lss1+LZAAAACQEAAA8AAAAAAAAAAQAgAAAAIgAAAGRycy9k&#10;b3ducmV2LnhtbFBLAQIUABQAAAAIAIdO4kDhZBuROgIAAF0EAAAOAAAAAAAAAAEAIAAAACgBAABk&#10;cnMvZTJvRG9jLnhtbFBLBQYAAAAABgAGAFkBAADUBQAAAAA=&#10;">
              <v:fill on="t" opacity="0f" focussize="0,0"/>
              <v:stroke on="f"/>
              <v:imagedata o:title=""/>
              <o:lock v:ext="edit" aspectratio="f"/>
              <v:textbox>
                <w:txbxContent>
                  <w:p w14:paraId="78516018">
                    <w:pPr>
                      <w:wordWrap w:val="0"/>
                      <w:jc w:val="both"/>
                      <w:rPr>
                        <w:rFonts w:hint="eastAsia" w:eastAsiaTheme="minorEastAsia"/>
                        <w:sz w:val="32"/>
                        <w:szCs w:val="32"/>
                        <w:lang w:eastAsia="zh-CN"/>
                      </w:rPr>
                    </w:pPr>
                    <w:r>
                      <w:rPr>
                        <w:rFonts w:hint="eastAsia" w:ascii="Arial" w:hAnsi="Arial"/>
                        <w:b/>
                        <w:color w:val="003F9A"/>
                        <w:sz w:val="32"/>
                        <w:szCs w:val="32"/>
                        <w:lang w:val="en-US" w:eastAsia="zh-CN"/>
                      </w:rPr>
                      <w:t>Bio-inspired Intelligence</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w:t>
    </w:r>
    <w:r>
      <w:rPr>
        <w:rFonts w:ascii="Times New Roman" w:hAnsi="Times New Roman" w:cs="Times New Roman"/>
        <w:sz w:val="16"/>
        <w:szCs w:val="16"/>
      </w:rPr>
      <w:t xml:space="preserve"> </w:t>
    </w:r>
    <w:r>
      <w:rPr>
        <w:rFonts w:hint="eastAsia" w:ascii="Times New Roman" w:hAnsi="Times New Roman" w:cs="Times New Roman"/>
        <w:i/>
        <w:iCs/>
        <w:sz w:val="16"/>
        <w:szCs w:val="16"/>
        <w:lang w:val="en-US" w:eastAsia="zh-CN"/>
      </w:rPr>
      <w:t>Bio-inspir. Intell.</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16"/>
    <w:r>
      <w:rPr>
        <w:rFonts w:ascii="Times New Roman" w:hAnsi="Times New Roman" w:cs="Times New Roman"/>
        <w:sz w:val="16"/>
        <w:szCs w:val="16"/>
      </w:rPr>
      <w:t>10.20517/</w:t>
    </w:r>
    <w:r>
      <w:rPr>
        <w:rFonts w:hint="eastAsia" w:ascii="Times New Roman" w:hAnsi="Times New Roman" w:cs="Times New Roman"/>
        <w:i/>
        <w:iCs/>
        <w:sz w:val="16"/>
        <w:szCs w:val="16"/>
        <w:lang w:val="en-US" w:eastAsia="zh-CN"/>
      </w:rPr>
      <w:t>bi</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3D80"/>
    <w:rsid w:val="000178BA"/>
    <w:rsid w:val="00030B75"/>
    <w:rsid w:val="0003284A"/>
    <w:rsid w:val="00061947"/>
    <w:rsid w:val="00087FB4"/>
    <w:rsid w:val="000C63DB"/>
    <w:rsid w:val="000C7C3B"/>
    <w:rsid w:val="000D5EBD"/>
    <w:rsid w:val="000E6242"/>
    <w:rsid w:val="000F36C0"/>
    <w:rsid w:val="001128A9"/>
    <w:rsid w:val="00116FC4"/>
    <w:rsid w:val="001436B8"/>
    <w:rsid w:val="00156834"/>
    <w:rsid w:val="00172A27"/>
    <w:rsid w:val="0019510B"/>
    <w:rsid w:val="00221C9E"/>
    <w:rsid w:val="00223A1A"/>
    <w:rsid w:val="002658C2"/>
    <w:rsid w:val="0027022E"/>
    <w:rsid w:val="00273491"/>
    <w:rsid w:val="002A656C"/>
    <w:rsid w:val="002C6B96"/>
    <w:rsid w:val="00313ED7"/>
    <w:rsid w:val="00325113"/>
    <w:rsid w:val="00331E76"/>
    <w:rsid w:val="00354800"/>
    <w:rsid w:val="003608FF"/>
    <w:rsid w:val="003613A5"/>
    <w:rsid w:val="00363AF1"/>
    <w:rsid w:val="003736D8"/>
    <w:rsid w:val="003B127A"/>
    <w:rsid w:val="003B3DF8"/>
    <w:rsid w:val="003B627D"/>
    <w:rsid w:val="003C11CD"/>
    <w:rsid w:val="003C5768"/>
    <w:rsid w:val="00422710"/>
    <w:rsid w:val="00423880"/>
    <w:rsid w:val="004264A7"/>
    <w:rsid w:val="00436667"/>
    <w:rsid w:val="0046509E"/>
    <w:rsid w:val="004755F0"/>
    <w:rsid w:val="00480C95"/>
    <w:rsid w:val="00497675"/>
    <w:rsid w:val="004B6554"/>
    <w:rsid w:val="004D5EC7"/>
    <w:rsid w:val="004E44CD"/>
    <w:rsid w:val="004F52CE"/>
    <w:rsid w:val="004F657A"/>
    <w:rsid w:val="0051292F"/>
    <w:rsid w:val="00513608"/>
    <w:rsid w:val="005159FA"/>
    <w:rsid w:val="00525A1D"/>
    <w:rsid w:val="0054411A"/>
    <w:rsid w:val="005570D9"/>
    <w:rsid w:val="00571B61"/>
    <w:rsid w:val="00580484"/>
    <w:rsid w:val="0059543D"/>
    <w:rsid w:val="005B7E71"/>
    <w:rsid w:val="005C5E38"/>
    <w:rsid w:val="005C6B82"/>
    <w:rsid w:val="005C6D73"/>
    <w:rsid w:val="005E6834"/>
    <w:rsid w:val="00637595"/>
    <w:rsid w:val="00664187"/>
    <w:rsid w:val="00675243"/>
    <w:rsid w:val="00681458"/>
    <w:rsid w:val="006B18C9"/>
    <w:rsid w:val="007028B7"/>
    <w:rsid w:val="0070775D"/>
    <w:rsid w:val="0073420B"/>
    <w:rsid w:val="00740C41"/>
    <w:rsid w:val="00755C03"/>
    <w:rsid w:val="007C517C"/>
    <w:rsid w:val="007D1FD5"/>
    <w:rsid w:val="008075EB"/>
    <w:rsid w:val="00815F95"/>
    <w:rsid w:val="00842C21"/>
    <w:rsid w:val="00875A34"/>
    <w:rsid w:val="00885095"/>
    <w:rsid w:val="008A3DC7"/>
    <w:rsid w:val="008A495C"/>
    <w:rsid w:val="008E10AC"/>
    <w:rsid w:val="008E1947"/>
    <w:rsid w:val="008E19E6"/>
    <w:rsid w:val="009201A7"/>
    <w:rsid w:val="00921419"/>
    <w:rsid w:val="009326F7"/>
    <w:rsid w:val="0094175F"/>
    <w:rsid w:val="00953F02"/>
    <w:rsid w:val="00965BF7"/>
    <w:rsid w:val="00970184"/>
    <w:rsid w:val="009B3345"/>
    <w:rsid w:val="009E0A8E"/>
    <w:rsid w:val="009F1930"/>
    <w:rsid w:val="009F3D4B"/>
    <w:rsid w:val="009F7007"/>
    <w:rsid w:val="00A13255"/>
    <w:rsid w:val="00A22723"/>
    <w:rsid w:val="00A37A37"/>
    <w:rsid w:val="00A45BFB"/>
    <w:rsid w:val="00A631F5"/>
    <w:rsid w:val="00AF07D5"/>
    <w:rsid w:val="00B02CEC"/>
    <w:rsid w:val="00B42AC5"/>
    <w:rsid w:val="00B600AA"/>
    <w:rsid w:val="00B651B1"/>
    <w:rsid w:val="00B74EF5"/>
    <w:rsid w:val="00B756F6"/>
    <w:rsid w:val="00B93865"/>
    <w:rsid w:val="00BA1A80"/>
    <w:rsid w:val="00BB3538"/>
    <w:rsid w:val="00BD1211"/>
    <w:rsid w:val="00BD5679"/>
    <w:rsid w:val="00BF7910"/>
    <w:rsid w:val="00C109EF"/>
    <w:rsid w:val="00C45FE3"/>
    <w:rsid w:val="00C5076C"/>
    <w:rsid w:val="00C6365E"/>
    <w:rsid w:val="00C83656"/>
    <w:rsid w:val="00C90E08"/>
    <w:rsid w:val="00CA2500"/>
    <w:rsid w:val="00CA5EA3"/>
    <w:rsid w:val="00D16246"/>
    <w:rsid w:val="00D30F13"/>
    <w:rsid w:val="00D6721F"/>
    <w:rsid w:val="00D76754"/>
    <w:rsid w:val="00DB50C2"/>
    <w:rsid w:val="00DC2E13"/>
    <w:rsid w:val="00DD1BCF"/>
    <w:rsid w:val="00DF5C43"/>
    <w:rsid w:val="00E0421A"/>
    <w:rsid w:val="00E31605"/>
    <w:rsid w:val="00E6173E"/>
    <w:rsid w:val="00EA21CF"/>
    <w:rsid w:val="00EB4558"/>
    <w:rsid w:val="00EE548B"/>
    <w:rsid w:val="00F176EF"/>
    <w:rsid w:val="00F37CB8"/>
    <w:rsid w:val="00F42642"/>
    <w:rsid w:val="00F67227"/>
    <w:rsid w:val="00F7301F"/>
    <w:rsid w:val="00F916B5"/>
    <w:rsid w:val="00F95777"/>
    <w:rsid w:val="00FA6414"/>
    <w:rsid w:val="00FB1A41"/>
    <w:rsid w:val="00FB5414"/>
    <w:rsid w:val="00FC4246"/>
    <w:rsid w:val="00FC61D4"/>
    <w:rsid w:val="00FE1F0E"/>
    <w:rsid w:val="00FF718A"/>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367012"/>
    <w:rsid w:val="02531DEA"/>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F41AB"/>
    <w:rsid w:val="04315284"/>
    <w:rsid w:val="04330167"/>
    <w:rsid w:val="04366611"/>
    <w:rsid w:val="04380BF4"/>
    <w:rsid w:val="043F796D"/>
    <w:rsid w:val="04466ADE"/>
    <w:rsid w:val="044E225D"/>
    <w:rsid w:val="045A30D3"/>
    <w:rsid w:val="04695297"/>
    <w:rsid w:val="046A3DA7"/>
    <w:rsid w:val="046C4BA8"/>
    <w:rsid w:val="047A7041"/>
    <w:rsid w:val="047E285C"/>
    <w:rsid w:val="04821CB2"/>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41DB5"/>
    <w:rsid w:val="05A508AA"/>
    <w:rsid w:val="05AF6B40"/>
    <w:rsid w:val="05B5380E"/>
    <w:rsid w:val="05C05CFE"/>
    <w:rsid w:val="05CB5766"/>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5E05B4"/>
    <w:rsid w:val="087C6F7D"/>
    <w:rsid w:val="08830A58"/>
    <w:rsid w:val="089A458D"/>
    <w:rsid w:val="089D4EDB"/>
    <w:rsid w:val="08A14042"/>
    <w:rsid w:val="08A40201"/>
    <w:rsid w:val="08A90D2F"/>
    <w:rsid w:val="08AD02B1"/>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5BA0"/>
    <w:rsid w:val="09CD7FE8"/>
    <w:rsid w:val="09E6504F"/>
    <w:rsid w:val="09E70DC7"/>
    <w:rsid w:val="09EC5ECA"/>
    <w:rsid w:val="0A1C4A23"/>
    <w:rsid w:val="0A24544E"/>
    <w:rsid w:val="0A2713B5"/>
    <w:rsid w:val="0A2C7F07"/>
    <w:rsid w:val="0A347FFF"/>
    <w:rsid w:val="0A377EAA"/>
    <w:rsid w:val="0A3E2925"/>
    <w:rsid w:val="0A425455"/>
    <w:rsid w:val="0A573B03"/>
    <w:rsid w:val="0A5A1CB6"/>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5F4020"/>
    <w:rsid w:val="0B6A4B1C"/>
    <w:rsid w:val="0B6A7442"/>
    <w:rsid w:val="0B72628C"/>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85E24"/>
    <w:rsid w:val="0C8552E8"/>
    <w:rsid w:val="0C9024B0"/>
    <w:rsid w:val="0C9248C4"/>
    <w:rsid w:val="0C9539F6"/>
    <w:rsid w:val="0C994640"/>
    <w:rsid w:val="0C9D0025"/>
    <w:rsid w:val="0CAB52FA"/>
    <w:rsid w:val="0CAB78B4"/>
    <w:rsid w:val="0CB45CC6"/>
    <w:rsid w:val="0CBF5DDE"/>
    <w:rsid w:val="0CCA17CB"/>
    <w:rsid w:val="0CDA2C87"/>
    <w:rsid w:val="0CEB68F7"/>
    <w:rsid w:val="0CF84682"/>
    <w:rsid w:val="0CFC4B59"/>
    <w:rsid w:val="0CFE3F3E"/>
    <w:rsid w:val="0CFE5F51"/>
    <w:rsid w:val="0D0B09E8"/>
    <w:rsid w:val="0D0D72DB"/>
    <w:rsid w:val="0D10569B"/>
    <w:rsid w:val="0D155E1C"/>
    <w:rsid w:val="0D1F2761"/>
    <w:rsid w:val="0D212916"/>
    <w:rsid w:val="0D275004"/>
    <w:rsid w:val="0D347E53"/>
    <w:rsid w:val="0D3A1A56"/>
    <w:rsid w:val="0D3C35A1"/>
    <w:rsid w:val="0D3E5064"/>
    <w:rsid w:val="0D402B5D"/>
    <w:rsid w:val="0D462CD7"/>
    <w:rsid w:val="0D4636AA"/>
    <w:rsid w:val="0D4C4536"/>
    <w:rsid w:val="0D501630"/>
    <w:rsid w:val="0D56158B"/>
    <w:rsid w:val="0D6344DF"/>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880ACA"/>
    <w:rsid w:val="0F8D0224"/>
    <w:rsid w:val="0F9765B4"/>
    <w:rsid w:val="0FB7749B"/>
    <w:rsid w:val="0FBD3FF0"/>
    <w:rsid w:val="0FBE028E"/>
    <w:rsid w:val="0FDC4974"/>
    <w:rsid w:val="0FDE3A15"/>
    <w:rsid w:val="0FE05E91"/>
    <w:rsid w:val="0FF15009"/>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F22FF8"/>
    <w:rsid w:val="110172EF"/>
    <w:rsid w:val="11114221"/>
    <w:rsid w:val="112011D1"/>
    <w:rsid w:val="11330F7C"/>
    <w:rsid w:val="113744E3"/>
    <w:rsid w:val="11391581"/>
    <w:rsid w:val="1148108A"/>
    <w:rsid w:val="115C31C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F3007"/>
    <w:rsid w:val="1203116D"/>
    <w:rsid w:val="12031BB1"/>
    <w:rsid w:val="12047DFE"/>
    <w:rsid w:val="12150AA2"/>
    <w:rsid w:val="12186EE0"/>
    <w:rsid w:val="121A4A1E"/>
    <w:rsid w:val="123D76DA"/>
    <w:rsid w:val="125B2435"/>
    <w:rsid w:val="125D7543"/>
    <w:rsid w:val="127821FB"/>
    <w:rsid w:val="12793B2D"/>
    <w:rsid w:val="12851595"/>
    <w:rsid w:val="128B5BDC"/>
    <w:rsid w:val="128E5166"/>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512645"/>
    <w:rsid w:val="13523955"/>
    <w:rsid w:val="13540A1A"/>
    <w:rsid w:val="13556A43"/>
    <w:rsid w:val="13575440"/>
    <w:rsid w:val="135A28C7"/>
    <w:rsid w:val="13622AE4"/>
    <w:rsid w:val="13635EB2"/>
    <w:rsid w:val="136970C2"/>
    <w:rsid w:val="137123F9"/>
    <w:rsid w:val="13777B09"/>
    <w:rsid w:val="137F1ECC"/>
    <w:rsid w:val="13924541"/>
    <w:rsid w:val="1395322D"/>
    <w:rsid w:val="1398312E"/>
    <w:rsid w:val="13AF5B95"/>
    <w:rsid w:val="13C340BC"/>
    <w:rsid w:val="13C83F61"/>
    <w:rsid w:val="13CE4C9A"/>
    <w:rsid w:val="13D46D94"/>
    <w:rsid w:val="13DA1942"/>
    <w:rsid w:val="13ED774D"/>
    <w:rsid w:val="13F601F5"/>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100C60"/>
    <w:rsid w:val="15163DD6"/>
    <w:rsid w:val="151B241A"/>
    <w:rsid w:val="151D6384"/>
    <w:rsid w:val="152423D4"/>
    <w:rsid w:val="15291690"/>
    <w:rsid w:val="15297225"/>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0649C"/>
    <w:rsid w:val="15C55392"/>
    <w:rsid w:val="15CB4366"/>
    <w:rsid w:val="15DA24ED"/>
    <w:rsid w:val="15E2649E"/>
    <w:rsid w:val="15E90B71"/>
    <w:rsid w:val="15EE4E5D"/>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8548B9"/>
    <w:rsid w:val="1696488C"/>
    <w:rsid w:val="169B2156"/>
    <w:rsid w:val="16A622FB"/>
    <w:rsid w:val="16A935D8"/>
    <w:rsid w:val="16C61F1F"/>
    <w:rsid w:val="16D100DA"/>
    <w:rsid w:val="16D23A04"/>
    <w:rsid w:val="16D37BCB"/>
    <w:rsid w:val="16E421E0"/>
    <w:rsid w:val="16F65DEF"/>
    <w:rsid w:val="170006D2"/>
    <w:rsid w:val="17097EE8"/>
    <w:rsid w:val="170E71F6"/>
    <w:rsid w:val="17205904"/>
    <w:rsid w:val="17324E04"/>
    <w:rsid w:val="173279C0"/>
    <w:rsid w:val="173B3A6D"/>
    <w:rsid w:val="174B4FED"/>
    <w:rsid w:val="175029D4"/>
    <w:rsid w:val="175204F9"/>
    <w:rsid w:val="17533277"/>
    <w:rsid w:val="175658B7"/>
    <w:rsid w:val="17571A2C"/>
    <w:rsid w:val="175F2070"/>
    <w:rsid w:val="176A23E4"/>
    <w:rsid w:val="177A115C"/>
    <w:rsid w:val="177C4F88"/>
    <w:rsid w:val="17845FD3"/>
    <w:rsid w:val="17A5317E"/>
    <w:rsid w:val="17AC4A03"/>
    <w:rsid w:val="17AD1FAC"/>
    <w:rsid w:val="17AF1267"/>
    <w:rsid w:val="17B30AF9"/>
    <w:rsid w:val="17B3173F"/>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B069B"/>
    <w:rsid w:val="194C35B0"/>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D27455"/>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24138"/>
    <w:rsid w:val="1BA1734C"/>
    <w:rsid w:val="1BA96B3C"/>
    <w:rsid w:val="1BAD3254"/>
    <w:rsid w:val="1BAF5A13"/>
    <w:rsid w:val="1BBC1C26"/>
    <w:rsid w:val="1BBD70C1"/>
    <w:rsid w:val="1BDD3A4B"/>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2093E"/>
    <w:rsid w:val="1C8D303A"/>
    <w:rsid w:val="1C8E3869"/>
    <w:rsid w:val="1C903F89"/>
    <w:rsid w:val="1C905F06"/>
    <w:rsid w:val="1C995A70"/>
    <w:rsid w:val="1C9A0B21"/>
    <w:rsid w:val="1CAB1254"/>
    <w:rsid w:val="1CAE3BA7"/>
    <w:rsid w:val="1CB92E5A"/>
    <w:rsid w:val="1CB93F92"/>
    <w:rsid w:val="1CBF46C4"/>
    <w:rsid w:val="1CC35C9C"/>
    <w:rsid w:val="1CC471D0"/>
    <w:rsid w:val="1CDF0B3F"/>
    <w:rsid w:val="1CE66672"/>
    <w:rsid w:val="1CEF4565"/>
    <w:rsid w:val="1CF2670A"/>
    <w:rsid w:val="1CF63CC5"/>
    <w:rsid w:val="1CFB4FC3"/>
    <w:rsid w:val="1D190F3D"/>
    <w:rsid w:val="1D205B7B"/>
    <w:rsid w:val="1D376199"/>
    <w:rsid w:val="1D3C40F2"/>
    <w:rsid w:val="1D437222"/>
    <w:rsid w:val="1D485EF9"/>
    <w:rsid w:val="1D5A7FCE"/>
    <w:rsid w:val="1D5B7BAB"/>
    <w:rsid w:val="1D601BDC"/>
    <w:rsid w:val="1D6834F0"/>
    <w:rsid w:val="1D7823E2"/>
    <w:rsid w:val="1D8D7CE0"/>
    <w:rsid w:val="1D921379"/>
    <w:rsid w:val="1D9B4119"/>
    <w:rsid w:val="1D9E0DC3"/>
    <w:rsid w:val="1DA62E04"/>
    <w:rsid w:val="1DA76E65"/>
    <w:rsid w:val="1DAA0A9A"/>
    <w:rsid w:val="1DB059F9"/>
    <w:rsid w:val="1DB06910"/>
    <w:rsid w:val="1DB30D77"/>
    <w:rsid w:val="1DB7662D"/>
    <w:rsid w:val="1DBE1E92"/>
    <w:rsid w:val="1DBE39BF"/>
    <w:rsid w:val="1DBF22C4"/>
    <w:rsid w:val="1DBF266E"/>
    <w:rsid w:val="1DC23020"/>
    <w:rsid w:val="1DC85902"/>
    <w:rsid w:val="1DCD2D0E"/>
    <w:rsid w:val="1DD823D5"/>
    <w:rsid w:val="1DE06F4A"/>
    <w:rsid w:val="1DE152AB"/>
    <w:rsid w:val="1DEB2F67"/>
    <w:rsid w:val="1DF70DE4"/>
    <w:rsid w:val="1DF87678"/>
    <w:rsid w:val="1DFE6A07"/>
    <w:rsid w:val="1DFF0E4C"/>
    <w:rsid w:val="1E0A316E"/>
    <w:rsid w:val="1E167CE8"/>
    <w:rsid w:val="1E1B2449"/>
    <w:rsid w:val="1E1E26D3"/>
    <w:rsid w:val="1E381756"/>
    <w:rsid w:val="1E4201AC"/>
    <w:rsid w:val="1E6F557C"/>
    <w:rsid w:val="1E6F61D0"/>
    <w:rsid w:val="1E7645BA"/>
    <w:rsid w:val="1E7759BC"/>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5E0C4C"/>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2051F"/>
    <w:rsid w:val="20573BC0"/>
    <w:rsid w:val="20650E8F"/>
    <w:rsid w:val="20710D8D"/>
    <w:rsid w:val="207C1590"/>
    <w:rsid w:val="208230AF"/>
    <w:rsid w:val="20901BF7"/>
    <w:rsid w:val="2094766D"/>
    <w:rsid w:val="20B06DB3"/>
    <w:rsid w:val="20C001E4"/>
    <w:rsid w:val="20C10198"/>
    <w:rsid w:val="20C305AE"/>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45A3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B752E"/>
    <w:rsid w:val="230442F2"/>
    <w:rsid w:val="230810B0"/>
    <w:rsid w:val="230A5B72"/>
    <w:rsid w:val="23105DCF"/>
    <w:rsid w:val="231157BB"/>
    <w:rsid w:val="231503BC"/>
    <w:rsid w:val="2316602B"/>
    <w:rsid w:val="23181B15"/>
    <w:rsid w:val="231E625E"/>
    <w:rsid w:val="23234C69"/>
    <w:rsid w:val="23237B51"/>
    <w:rsid w:val="23351F4C"/>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A44AAB"/>
    <w:rsid w:val="23B043CE"/>
    <w:rsid w:val="23B17003"/>
    <w:rsid w:val="23B21DA3"/>
    <w:rsid w:val="23B2754C"/>
    <w:rsid w:val="23B3428B"/>
    <w:rsid w:val="23B50EBC"/>
    <w:rsid w:val="23B812F6"/>
    <w:rsid w:val="23CE4094"/>
    <w:rsid w:val="23CF6896"/>
    <w:rsid w:val="23D54270"/>
    <w:rsid w:val="23E5722B"/>
    <w:rsid w:val="23E82706"/>
    <w:rsid w:val="23E8601A"/>
    <w:rsid w:val="23EB70E4"/>
    <w:rsid w:val="23EC21F9"/>
    <w:rsid w:val="240E148B"/>
    <w:rsid w:val="240F50BB"/>
    <w:rsid w:val="24103556"/>
    <w:rsid w:val="241B6C59"/>
    <w:rsid w:val="241C09AB"/>
    <w:rsid w:val="241E042A"/>
    <w:rsid w:val="243B7A26"/>
    <w:rsid w:val="24407667"/>
    <w:rsid w:val="24412AAA"/>
    <w:rsid w:val="24440538"/>
    <w:rsid w:val="24456C68"/>
    <w:rsid w:val="24471426"/>
    <w:rsid w:val="24474FD5"/>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501272"/>
    <w:rsid w:val="26605FB5"/>
    <w:rsid w:val="266F569F"/>
    <w:rsid w:val="2671120B"/>
    <w:rsid w:val="2673490B"/>
    <w:rsid w:val="267B58BE"/>
    <w:rsid w:val="267C41CE"/>
    <w:rsid w:val="2690789A"/>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25F50"/>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10626"/>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C06676"/>
    <w:rsid w:val="28C724A9"/>
    <w:rsid w:val="28C841CA"/>
    <w:rsid w:val="28CB4CBE"/>
    <w:rsid w:val="28D85D54"/>
    <w:rsid w:val="28DA48BF"/>
    <w:rsid w:val="28E30B09"/>
    <w:rsid w:val="28E674BD"/>
    <w:rsid w:val="28EF1377"/>
    <w:rsid w:val="28FD06A0"/>
    <w:rsid w:val="290078C9"/>
    <w:rsid w:val="290241CA"/>
    <w:rsid w:val="290309EC"/>
    <w:rsid w:val="29127071"/>
    <w:rsid w:val="29175049"/>
    <w:rsid w:val="291D1583"/>
    <w:rsid w:val="2923195C"/>
    <w:rsid w:val="29310BAE"/>
    <w:rsid w:val="2935763B"/>
    <w:rsid w:val="29465615"/>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8F45E9"/>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E1D9E"/>
    <w:rsid w:val="2AF27530"/>
    <w:rsid w:val="2AF374D3"/>
    <w:rsid w:val="2AF43D74"/>
    <w:rsid w:val="2B0758A5"/>
    <w:rsid w:val="2B2231DC"/>
    <w:rsid w:val="2B241B55"/>
    <w:rsid w:val="2B255882"/>
    <w:rsid w:val="2B2F61A9"/>
    <w:rsid w:val="2B311793"/>
    <w:rsid w:val="2B3B7A55"/>
    <w:rsid w:val="2B3F42E7"/>
    <w:rsid w:val="2B4537D2"/>
    <w:rsid w:val="2B490DC2"/>
    <w:rsid w:val="2B5149B3"/>
    <w:rsid w:val="2B5F0040"/>
    <w:rsid w:val="2B621795"/>
    <w:rsid w:val="2B6459E1"/>
    <w:rsid w:val="2B6502AC"/>
    <w:rsid w:val="2B7276AD"/>
    <w:rsid w:val="2B7A7BC2"/>
    <w:rsid w:val="2B7B305B"/>
    <w:rsid w:val="2B7E4971"/>
    <w:rsid w:val="2B880568"/>
    <w:rsid w:val="2B9A6230"/>
    <w:rsid w:val="2BA92FD5"/>
    <w:rsid w:val="2BB32323"/>
    <w:rsid w:val="2BC027FC"/>
    <w:rsid w:val="2BC675E9"/>
    <w:rsid w:val="2BD53F91"/>
    <w:rsid w:val="2BDB351E"/>
    <w:rsid w:val="2BE0706B"/>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172C1"/>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D1158"/>
    <w:rsid w:val="2E4E5B62"/>
    <w:rsid w:val="2E4E789F"/>
    <w:rsid w:val="2E52123F"/>
    <w:rsid w:val="2E533F5B"/>
    <w:rsid w:val="2E581B90"/>
    <w:rsid w:val="2E5D130A"/>
    <w:rsid w:val="2E744332"/>
    <w:rsid w:val="2E7B69BB"/>
    <w:rsid w:val="2E802A38"/>
    <w:rsid w:val="2E834736"/>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2835"/>
    <w:rsid w:val="2F2C36AB"/>
    <w:rsid w:val="2F3E0E69"/>
    <w:rsid w:val="2F4B0EBF"/>
    <w:rsid w:val="2F4C3D79"/>
    <w:rsid w:val="2F5D6DB2"/>
    <w:rsid w:val="2F643B76"/>
    <w:rsid w:val="2F685035"/>
    <w:rsid w:val="2F697E02"/>
    <w:rsid w:val="2F751492"/>
    <w:rsid w:val="2F7E660B"/>
    <w:rsid w:val="2F8349E1"/>
    <w:rsid w:val="2F9E3F3B"/>
    <w:rsid w:val="2FA34F86"/>
    <w:rsid w:val="2FCE6CD1"/>
    <w:rsid w:val="2FE21D5C"/>
    <w:rsid w:val="2FE32A8A"/>
    <w:rsid w:val="2FE5000F"/>
    <w:rsid w:val="2FF27FD2"/>
    <w:rsid w:val="2FFC00BE"/>
    <w:rsid w:val="2FFF0BC6"/>
    <w:rsid w:val="30007F7D"/>
    <w:rsid w:val="300A0D47"/>
    <w:rsid w:val="303D2B6F"/>
    <w:rsid w:val="3046513A"/>
    <w:rsid w:val="304D3FE9"/>
    <w:rsid w:val="305914FE"/>
    <w:rsid w:val="305F1032"/>
    <w:rsid w:val="306014C5"/>
    <w:rsid w:val="307237B7"/>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EC45EA"/>
    <w:rsid w:val="30F3729C"/>
    <w:rsid w:val="30F41955"/>
    <w:rsid w:val="30F85C4A"/>
    <w:rsid w:val="310007ED"/>
    <w:rsid w:val="31000962"/>
    <w:rsid w:val="31025BB9"/>
    <w:rsid w:val="3104576A"/>
    <w:rsid w:val="31071807"/>
    <w:rsid w:val="3109325E"/>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17473A"/>
    <w:rsid w:val="331954C6"/>
    <w:rsid w:val="331A7CEB"/>
    <w:rsid w:val="332C295B"/>
    <w:rsid w:val="33457A89"/>
    <w:rsid w:val="3346136E"/>
    <w:rsid w:val="334A3B7C"/>
    <w:rsid w:val="335631BB"/>
    <w:rsid w:val="33606128"/>
    <w:rsid w:val="33685975"/>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163E4"/>
    <w:rsid w:val="34341E72"/>
    <w:rsid w:val="34373FB0"/>
    <w:rsid w:val="34565FD2"/>
    <w:rsid w:val="346019FD"/>
    <w:rsid w:val="34610553"/>
    <w:rsid w:val="3465434B"/>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243BB"/>
    <w:rsid w:val="34D55E94"/>
    <w:rsid w:val="34D6782E"/>
    <w:rsid w:val="34DF0592"/>
    <w:rsid w:val="34EA109C"/>
    <w:rsid w:val="34F175A3"/>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42EB4"/>
    <w:rsid w:val="368B753F"/>
    <w:rsid w:val="368C42E0"/>
    <w:rsid w:val="36944B03"/>
    <w:rsid w:val="369B2584"/>
    <w:rsid w:val="369B68FF"/>
    <w:rsid w:val="36A41EAA"/>
    <w:rsid w:val="36A7293A"/>
    <w:rsid w:val="36A87B1D"/>
    <w:rsid w:val="36B07A48"/>
    <w:rsid w:val="36B44908"/>
    <w:rsid w:val="36B948D2"/>
    <w:rsid w:val="36B96580"/>
    <w:rsid w:val="36CF40AB"/>
    <w:rsid w:val="36DA0F92"/>
    <w:rsid w:val="36E27868"/>
    <w:rsid w:val="36F12E7A"/>
    <w:rsid w:val="36F34DD9"/>
    <w:rsid w:val="37014253"/>
    <w:rsid w:val="37024D60"/>
    <w:rsid w:val="370C36B2"/>
    <w:rsid w:val="370E3825"/>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100C"/>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F0E82"/>
    <w:rsid w:val="38F867F8"/>
    <w:rsid w:val="38FB35D7"/>
    <w:rsid w:val="390C2552"/>
    <w:rsid w:val="39117E95"/>
    <w:rsid w:val="3913436F"/>
    <w:rsid w:val="391B5488"/>
    <w:rsid w:val="392A055C"/>
    <w:rsid w:val="392C09F0"/>
    <w:rsid w:val="392C7F4E"/>
    <w:rsid w:val="392D1C54"/>
    <w:rsid w:val="39342AE6"/>
    <w:rsid w:val="393548E3"/>
    <w:rsid w:val="3935600D"/>
    <w:rsid w:val="393E20B6"/>
    <w:rsid w:val="39414F3E"/>
    <w:rsid w:val="394311B9"/>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A47E9"/>
    <w:rsid w:val="3A3E12B0"/>
    <w:rsid w:val="3A40242A"/>
    <w:rsid w:val="3A433AEC"/>
    <w:rsid w:val="3A4508EB"/>
    <w:rsid w:val="3A4819BA"/>
    <w:rsid w:val="3A4F610B"/>
    <w:rsid w:val="3A690090"/>
    <w:rsid w:val="3A697FC4"/>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B0D4D"/>
    <w:rsid w:val="3B434372"/>
    <w:rsid w:val="3B4C20C7"/>
    <w:rsid w:val="3B65118E"/>
    <w:rsid w:val="3B760106"/>
    <w:rsid w:val="3B80199D"/>
    <w:rsid w:val="3B894B91"/>
    <w:rsid w:val="3B8F3936"/>
    <w:rsid w:val="3B922B3C"/>
    <w:rsid w:val="3B957660"/>
    <w:rsid w:val="3BA441D3"/>
    <w:rsid w:val="3BBE278D"/>
    <w:rsid w:val="3BC62AA9"/>
    <w:rsid w:val="3BC722A4"/>
    <w:rsid w:val="3BCA7515"/>
    <w:rsid w:val="3BD70538"/>
    <w:rsid w:val="3BDF12D0"/>
    <w:rsid w:val="3BE748CF"/>
    <w:rsid w:val="3BE91490"/>
    <w:rsid w:val="3BEC6103"/>
    <w:rsid w:val="3BF0566B"/>
    <w:rsid w:val="3BF12A61"/>
    <w:rsid w:val="3BF70CDF"/>
    <w:rsid w:val="3BFB3071"/>
    <w:rsid w:val="3BFB364F"/>
    <w:rsid w:val="3C05384C"/>
    <w:rsid w:val="3C0775AA"/>
    <w:rsid w:val="3C104F03"/>
    <w:rsid w:val="3C1234B8"/>
    <w:rsid w:val="3C1C1DB3"/>
    <w:rsid w:val="3C221645"/>
    <w:rsid w:val="3C2C37B8"/>
    <w:rsid w:val="3C31221C"/>
    <w:rsid w:val="3C347AB1"/>
    <w:rsid w:val="3C376403"/>
    <w:rsid w:val="3C393E7B"/>
    <w:rsid w:val="3C3E25F2"/>
    <w:rsid w:val="3C4143B0"/>
    <w:rsid w:val="3C4267B7"/>
    <w:rsid w:val="3C4B674D"/>
    <w:rsid w:val="3C5C1552"/>
    <w:rsid w:val="3C5F7D1B"/>
    <w:rsid w:val="3C683F7D"/>
    <w:rsid w:val="3C78107B"/>
    <w:rsid w:val="3C7A30F2"/>
    <w:rsid w:val="3C7F0EC4"/>
    <w:rsid w:val="3C85587F"/>
    <w:rsid w:val="3C875F69"/>
    <w:rsid w:val="3C910070"/>
    <w:rsid w:val="3C980BC7"/>
    <w:rsid w:val="3CA137CF"/>
    <w:rsid w:val="3CAD0C76"/>
    <w:rsid w:val="3CB433B2"/>
    <w:rsid w:val="3CC23406"/>
    <w:rsid w:val="3CC87601"/>
    <w:rsid w:val="3CC926B4"/>
    <w:rsid w:val="3CD32844"/>
    <w:rsid w:val="3CD92B8A"/>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B358E6"/>
    <w:rsid w:val="3DB713BA"/>
    <w:rsid w:val="3DB76EC2"/>
    <w:rsid w:val="3DB82D59"/>
    <w:rsid w:val="3DC12E13"/>
    <w:rsid w:val="3DD21FCA"/>
    <w:rsid w:val="3DD33899"/>
    <w:rsid w:val="3DD53D8E"/>
    <w:rsid w:val="3DE01F84"/>
    <w:rsid w:val="3DE1031D"/>
    <w:rsid w:val="3DE33744"/>
    <w:rsid w:val="3DF31975"/>
    <w:rsid w:val="3DF97115"/>
    <w:rsid w:val="3E044127"/>
    <w:rsid w:val="3E067CD9"/>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7F2049"/>
    <w:rsid w:val="3F800778"/>
    <w:rsid w:val="3F81513C"/>
    <w:rsid w:val="3F885D7C"/>
    <w:rsid w:val="3F893A21"/>
    <w:rsid w:val="3F907DE1"/>
    <w:rsid w:val="3FA0756C"/>
    <w:rsid w:val="3FA906F6"/>
    <w:rsid w:val="3FAA7C0D"/>
    <w:rsid w:val="3FBB18E7"/>
    <w:rsid w:val="3FBC79D4"/>
    <w:rsid w:val="3FBD26D9"/>
    <w:rsid w:val="3FD30B2E"/>
    <w:rsid w:val="3FDF6344"/>
    <w:rsid w:val="3FEC0325"/>
    <w:rsid w:val="3FF36786"/>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C1BC0"/>
    <w:rsid w:val="413A7AE7"/>
    <w:rsid w:val="4147084D"/>
    <w:rsid w:val="41496A89"/>
    <w:rsid w:val="415107E2"/>
    <w:rsid w:val="415D64C5"/>
    <w:rsid w:val="415E7539"/>
    <w:rsid w:val="416711A2"/>
    <w:rsid w:val="417020D0"/>
    <w:rsid w:val="41702ED5"/>
    <w:rsid w:val="417D7BF9"/>
    <w:rsid w:val="4186503B"/>
    <w:rsid w:val="41881DEA"/>
    <w:rsid w:val="41AB0C98"/>
    <w:rsid w:val="41AE166B"/>
    <w:rsid w:val="41AF12A9"/>
    <w:rsid w:val="41B31AC1"/>
    <w:rsid w:val="41B62949"/>
    <w:rsid w:val="41B803AC"/>
    <w:rsid w:val="41C05B66"/>
    <w:rsid w:val="41C624DB"/>
    <w:rsid w:val="41CC07A3"/>
    <w:rsid w:val="41CE2B69"/>
    <w:rsid w:val="41D6663C"/>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832232"/>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D236F"/>
    <w:rsid w:val="431F4183"/>
    <w:rsid w:val="432A39D1"/>
    <w:rsid w:val="43352C1D"/>
    <w:rsid w:val="43361CEF"/>
    <w:rsid w:val="434910DF"/>
    <w:rsid w:val="434C3E9C"/>
    <w:rsid w:val="435054E1"/>
    <w:rsid w:val="43664665"/>
    <w:rsid w:val="436F0D68"/>
    <w:rsid w:val="437C69A2"/>
    <w:rsid w:val="438A5CF7"/>
    <w:rsid w:val="43924718"/>
    <w:rsid w:val="439C43F2"/>
    <w:rsid w:val="43A90C9B"/>
    <w:rsid w:val="43BC31D2"/>
    <w:rsid w:val="43C00CF9"/>
    <w:rsid w:val="43C7716A"/>
    <w:rsid w:val="43DE5A45"/>
    <w:rsid w:val="43E26D14"/>
    <w:rsid w:val="43E4388A"/>
    <w:rsid w:val="43F940F3"/>
    <w:rsid w:val="43FB497F"/>
    <w:rsid w:val="43FE3E70"/>
    <w:rsid w:val="44046C8A"/>
    <w:rsid w:val="44085247"/>
    <w:rsid w:val="44095B36"/>
    <w:rsid w:val="440D7118"/>
    <w:rsid w:val="441766BF"/>
    <w:rsid w:val="441925A9"/>
    <w:rsid w:val="442209AC"/>
    <w:rsid w:val="4422556A"/>
    <w:rsid w:val="44283D04"/>
    <w:rsid w:val="442A4B25"/>
    <w:rsid w:val="44385DD2"/>
    <w:rsid w:val="443B5485"/>
    <w:rsid w:val="44433EEB"/>
    <w:rsid w:val="445658A4"/>
    <w:rsid w:val="445752F2"/>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F82C4B"/>
    <w:rsid w:val="44FD2342"/>
    <w:rsid w:val="450064AF"/>
    <w:rsid w:val="45030DA1"/>
    <w:rsid w:val="45075B75"/>
    <w:rsid w:val="450C6E9B"/>
    <w:rsid w:val="450F5D31"/>
    <w:rsid w:val="45160217"/>
    <w:rsid w:val="45200866"/>
    <w:rsid w:val="4527090E"/>
    <w:rsid w:val="452E755A"/>
    <w:rsid w:val="45401917"/>
    <w:rsid w:val="45460A22"/>
    <w:rsid w:val="45463724"/>
    <w:rsid w:val="45464482"/>
    <w:rsid w:val="454D79D0"/>
    <w:rsid w:val="45512327"/>
    <w:rsid w:val="45587D66"/>
    <w:rsid w:val="4569795B"/>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1AB"/>
    <w:rsid w:val="463059A2"/>
    <w:rsid w:val="463B6061"/>
    <w:rsid w:val="464E77FB"/>
    <w:rsid w:val="464F5318"/>
    <w:rsid w:val="46580D10"/>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B7F79"/>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6B154F"/>
    <w:rsid w:val="48705E73"/>
    <w:rsid w:val="48836814"/>
    <w:rsid w:val="488528ED"/>
    <w:rsid w:val="488E71B1"/>
    <w:rsid w:val="48903E80"/>
    <w:rsid w:val="489857A5"/>
    <w:rsid w:val="489B1D72"/>
    <w:rsid w:val="48A35353"/>
    <w:rsid w:val="48A44D08"/>
    <w:rsid w:val="48AE3248"/>
    <w:rsid w:val="48B905D5"/>
    <w:rsid w:val="48BA5088"/>
    <w:rsid w:val="48CA787B"/>
    <w:rsid w:val="48D6118C"/>
    <w:rsid w:val="48DD398E"/>
    <w:rsid w:val="48E476B5"/>
    <w:rsid w:val="48F214A6"/>
    <w:rsid w:val="48F464D4"/>
    <w:rsid w:val="48F903A5"/>
    <w:rsid w:val="49036CED"/>
    <w:rsid w:val="49094345"/>
    <w:rsid w:val="490A46B5"/>
    <w:rsid w:val="490B406C"/>
    <w:rsid w:val="49152632"/>
    <w:rsid w:val="49165614"/>
    <w:rsid w:val="49193383"/>
    <w:rsid w:val="493E7D34"/>
    <w:rsid w:val="4945396C"/>
    <w:rsid w:val="49476D08"/>
    <w:rsid w:val="49486492"/>
    <w:rsid w:val="49591268"/>
    <w:rsid w:val="495C7492"/>
    <w:rsid w:val="496279A6"/>
    <w:rsid w:val="496B72B6"/>
    <w:rsid w:val="497B6021"/>
    <w:rsid w:val="497E2652"/>
    <w:rsid w:val="49833F8D"/>
    <w:rsid w:val="498705AB"/>
    <w:rsid w:val="4999338D"/>
    <w:rsid w:val="499A6149"/>
    <w:rsid w:val="499E4B16"/>
    <w:rsid w:val="49A14F22"/>
    <w:rsid w:val="49A36C06"/>
    <w:rsid w:val="49A53A41"/>
    <w:rsid w:val="49AB495E"/>
    <w:rsid w:val="49BE466A"/>
    <w:rsid w:val="49BE66AF"/>
    <w:rsid w:val="49CE0A4C"/>
    <w:rsid w:val="49CF6E58"/>
    <w:rsid w:val="49D509BE"/>
    <w:rsid w:val="49D85502"/>
    <w:rsid w:val="49E146D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76BA4"/>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C51CD"/>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6478F"/>
    <w:rsid w:val="4BB647EF"/>
    <w:rsid w:val="4BBA4760"/>
    <w:rsid w:val="4BC55FD2"/>
    <w:rsid w:val="4BC71A96"/>
    <w:rsid w:val="4BC735E4"/>
    <w:rsid w:val="4BCB6402"/>
    <w:rsid w:val="4BCE61ED"/>
    <w:rsid w:val="4BD125DF"/>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466E6"/>
    <w:rsid w:val="4C9D1446"/>
    <w:rsid w:val="4C9D54FB"/>
    <w:rsid w:val="4C9E1C0A"/>
    <w:rsid w:val="4CA0433B"/>
    <w:rsid w:val="4CCA6523"/>
    <w:rsid w:val="4CD22D9D"/>
    <w:rsid w:val="4CE61CC9"/>
    <w:rsid w:val="4CE77A7A"/>
    <w:rsid w:val="4D1C379E"/>
    <w:rsid w:val="4D2420C4"/>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8661B"/>
    <w:rsid w:val="4DBD180A"/>
    <w:rsid w:val="4DBE32E7"/>
    <w:rsid w:val="4DC74A2A"/>
    <w:rsid w:val="4DCC66C8"/>
    <w:rsid w:val="4DCF0FE8"/>
    <w:rsid w:val="4DD061AA"/>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62F67"/>
    <w:rsid w:val="4E593461"/>
    <w:rsid w:val="4E5C3511"/>
    <w:rsid w:val="4E6B36FD"/>
    <w:rsid w:val="4E7564EE"/>
    <w:rsid w:val="4E79376A"/>
    <w:rsid w:val="4E7B2346"/>
    <w:rsid w:val="4E841773"/>
    <w:rsid w:val="4E87242C"/>
    <w:rsid w:val="4E9C4FB5"/>
    <w:rsid w:val="4E9E06B4"/>
    <w:rsid w:val="4EAE2546"/>
    <w:rsid w:val="4EB42069"/>
    <w:rsid w:val="4EB468A6"/>
    <w:rsid w:val="4EB60B08"/>
    <w:rsid w:val="4EB62AED"/>
    <w:rsid w:val="4EB95FD1"/>
    <w:rsid w:val="4EC26563"/>
    <w:rsid w:val="4EC63A79"/>
    <w:rsid w:val="4EC777D0"/>
    <w:rsid w:val="4ED8341C"/>
    <w:rsid w:val="4ED96FFD"/>
    <w:rsid w:val="4EDA63BD"/>
    <w:rsid w:val="4EE24F81"/>
    <w:rsid w:val="4EEB6737"/>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F1102"/>
    <w:rsid w:val="4F980757"/>
    <w:rsid w:val="4FA6478C"/>
    <w:rsid w:val="4FAA60A9"/>
    <w:rsid w:val="4FBB7243"/>
    <w:rsid w:val="4FBF1BFB"/>
    <w:rsid w:val="4FCC5EA8"/>
    <w:rsid w:val="4FCE03A0"/>
    <w:rsid w:val="4FCE7A79"/>
    <w:rsid w:val="4FD33CE0"/>
    <w:rsid w:val="4FDF7BDD"/>
    <w:rsid w:val="4FE15453"/>
    <w:rsid w:val="4FE73B63"/>
    <w:rsid w:val="4FF72332"/>
    <w:rsid w:val="4FF72DE5"/>
    <w:rsid w:val="50012075"/>
    <w:rsid w:val="50047A7F"/>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C26A0D"/>
    <w:rsid w:val="50CC6518"/>
    <w:rsid w:val="50CC68B8"/>
    <w:rsid w:val="50D6059E"/>
    <w:rsid w:val="50DC3A8C"/>
    <w:rsid w:val="50EE2538"/>
    <w:rsid w:val="50EE7EEA"/>
    <w:rsid w:val="50F429E8"/>
    <w:rsid w:val="50F939A1"/>
    <w:rsid w:val="50FB2324"/>
    <w:rsid w:val="51022258"/>
    <w:rsid w:val="510801FB"/>
    <w:rsid w:val="511D7548"/>
    <w:rsid w:val="512C5A48"/>
    <w:rsid w:val="512F07E5"/>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D7630"/>
    <w:rsid w:val="51D94D59"/>
    <w:rsid w:val="51DD542C"/>
    <w:rsid w:val="51E132E0"/>
    <w:rsid w:val="51E17C48"/>
    <w:rsid w:val="51E20837"/>
    <w:rsid w:val="51EA6449"/>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72116"/>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758D0"/>
    <w:rsid w:val="558A52E3"/>
    <w:rsid w:val="559B4098"/>
    <w:rsid w:val="559B7744"/>
    <w:rsid w:val="55A26D7E"/>
    <w:rsid w:val="55A447EB"/>
    <w:rsid w:val="55B035C3"/>
    <w:rsid w:val="55BD6AAD"/>
    <w:rsid w:val="55CF4B6F"/>
    <w:rsid w:val="55D82256"/>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B01B8"/>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CA1369"/>
    <w:rsid w:val="56D3686B"/>
    <w:rsid w:val="56D518AC"/>
    <w:rsid w:val="56D8175A"/>
    <w:rsid w:val="56DE38B8"/>
    <w:rsid w:val="56DE44F9"/>
    <w:rsid w:val="56E01239"/>
    <w:rsid w:val="56E13301"/>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8026829"/>
    <w:rsid w:val="581851A8"/>
    <w:rsid w:val="581921CC"/>
    <w:rsid w:val="582139B9"/>
    <w:rsid w:val="582A7A8E"/>
    <w:rsid w:val="58364591"/>
    <w:rsid w:val="583B4C5D"/>
    <w:rsid w:val="58400141"/>
    <w:rsid w:val="58447C0D"/>
    <w:rsid w:val="58495C25"/>
    <w:rsid w:val="585D7244"/>
    <w:rsid w:val="58606468"/>
    <w:rsid w:val="588343E7"/>
    <w:rsid w:val="588C1CEC"/>
    <w:rsid w:val="58955AA6"/>
    <w:rsid w:val="589C4524"/>
    <w:rsid w:val="58A56F92"/>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403C7E"/>
    <w:rsid w:val="5B497C81"/>
    <w:rsid w:val="5B4B2685"/>
    <w:rsid w:val="5B6B06CB"/>
    <w:rsid w:val="5B814E54"/>
    <w:rsid w:val="5B8746E9"/>
    <w:rsid w:val="5B8A31CE"/>
    <w:rsid w:val="5B8A611A"/>
    <w:rsid w:val="5B903048"/>
    <w:rsid w:val="5B9235F3"/>
    <w:rsid w:val="5B995855"/>
    <w:rsid w:val="5B9A5BBF"/>
    <w:rsid w:val="5B9D772A"/>
    <w:rsid w:val="5BA44703"/>
    <w:rsid w:val="5BA60E01"/>
    <w:rsid w:val="5BA90B30"/>
    <w:rsid w:val="5BB73E49"/>
    <w:rsid w:val="5BBF1795"/>
    <w:rsid w:val="5BCE4410"/>
    <w:rsid w:val="5BCE6B3C"/>
    <w:rsid w:val="5BD15F25"/>
    <w:rsid w:val="5BDE4979"/>
    <w:rsid w:val="5BE13A42"/>
    <w:rsid w:val="5BEA6D6D"/>
    <w:rsid w:val="5BFD7AE4"/>
    <w:rsid w:val="5C0328BB"/>
    <w:rsid w:val="5C09010C"/>
    <w:rsid w:val="5C0923F0"/>
    <w:rsid w:val="5C105C12"/>
    <w:rsid w:val="5C1273B9"/>
    <w:rsid w:val="5C1D7128"/>
    <w:rsid w:val="5C277D32"/>
    <w:rsid w:val="5C31171C"/>
    <w:rsid w:val="5C36058B"/>
    <w:rsid w:val="5C3E7B67"/>
    <w:rsid w:val="5C3F182C"/>
    <w:rsid w:val="5C4D60DF"/>
    <w:rsid w:val="5C4F35A9"/>
    <w:rsid w:val="5C5806E4"/>
    <w:rsid w:val="5C5A45ED"/>
    <w:rsid w:val="5C5B5A5D"/>
    <w:rsid w:val="5C6A6066"/>
    <w:rsid w:val="5C6E014A"/>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4C86"/>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674975"/>
    <w:rsid w:val="60702AF0"/>
    <w:rsid w:val="607E59F4"/>
    <w:rsid w:val="6081032D"/>
    <w:rsid w:val="60886D9D"/>
    <w:rsid w:val="60896F86"/>
    <w:rsid w:val="608E2F5B"/>
    <w:rsid w:val="6096578C"/>
    <w:rsid w:val="60986CE1"/>
    <w:rsid w:val="609947AF"/>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D6896"/>
    <w:rsid w:val="61403487"/>
    <w:rsid w:val="614502B5"/>
    <w:rsid w:val="614A1824"/>
    <w:rsid w:val="614B2867"/>
    <w:rsid w:val="614F5FC7"/>
    <w:rsid w:val="617216A8"/>
    <w:rsid w:val="61760805"/>
    <w:rsid w:val="61814D5C"/>
    <w:rsid w:val="61827E73"/>
    <w:rsid w:val="61962F08"/>
    <w:rsid w:val="61A52B00"/>
    <w:rsid w:val="61A84B20"/>
    <w:rsid w:val="61B26068"/>
    <w:rsid w:val="61B304AF"/>
    <w:rsid w:val="61B6094D"/>
    <w:rsid w:val="61BA0E5D"/>
    <w:rsid w:val="61C20676"/>
    <w:rsid w:val="61D953DF"/>
    <w:rsid w:val="61DB50EB"/>
    <w:rsid w:val="61E74D46"/>
    <w:rsid w:val="61E84F1B"/>
    <w:rsid w:val="61F83632"/>
    <w:rsid w:val="61F83FF6"/>
    <w:rsid w:val="61F91083"/>
    <w:rsid w:val="61FA2F62"/>
    <w:rsid w:val="61FC0134"/>
    <w:rsid w:val="61FC6009"/>
    <w:rsid w:val="620301B0"/>
    <w:rsid w:val="62046D1C"/>
    <w:rsid w:val="620A7162"/>
    <w:rsid w:val="620C06D2"/>
    <w:rsid w:val="621177AB"/>
    <w:rsid w:val="622028A8"/>
    <w:rsid w:val="6226339C"/>
    <w:rsid w:val="622A47C3"/>
    <w:rsid w:val="623162DA"/>
    <w:rsid w:val="62394DB2"/>
    <w:rsid w:val="624163E3"/>
    <w:rsid w:val="62493CCF"/>
    <w:rsid w:val="624D19F8"/>
    <w:rsid w:val="624D6C56"/>
    <w:rsid w:val="624E5BD7"/>
    <w:rsid w:val="624E7903"/>
    <w:rsid w:val="62522BF9"/>
    <w:rsid w:val="625C183B"/>
    <w:rsid w:val="625E0203"/>
    <w:rsid w:val="62664CD9"/>
    <w:rsid w:val="626F0622"/>
    <w:rsid w:val="62724EC0"/>
    <w:rsid w:val="62906A7A"/>
    <w:rsid w:val="629435BC"/>
    <w:rsid w:val="62973B86"/>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9079C"/>
    <w:rsid w:val="636B46E3"/>
    <w:rsid w:val="636B4B97"/>
    <w:rsid w:val="636F5F7A"/>
    <w:rsid w:val="6372006C"/>
    <w:rsid w:val="6373524C"/>
    <w:rsid w:val="63787E07"/>
    <w:rsid w:val="637F1D06"/>
    <w:rsid w:val="638409ED"/>
    <w:rsid w:val="63852BFD"/>
    <w:rsid w:val="638D4E6D"/>
    <w:rsid w:val="638F5956"/>
    <w:rsid w:val="639049FB"/>
    <w:rsid w:val="6394287D"/>
    <w:rsid w:val="63987222"/>
    <w:rsid w:val="639929E9"/>
    <w:rsid w:val="639B3C00"/>
    <w:rsid w:val="63A860AE"/>
    <w:rsid w:val="63B05962"/>
    <w:rsid w:val="63B153BB"/>
    <w:rsid w:val="63B24745"/>
    <w:rsid w:val="63B30D3F"/>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62740"/>
    <w:rsid w:val="64964837"/>
    <w:rsid w:val="64974223"/>
    <w:rsid w:val="64A64FA1"/>
    <w:rsid w:val="64B04B6C"/>
    <w:rsid w:val="64B42A9B"/>
    <w:rsid w:val="64BA12E4"/>
    <w:rsid w:val="64BD5068"/>
    <w:rsid w:val="64C1448C"/>
    <w:rsid w:val="64C575CD"/>
    <w:rsid w:val="64C97FC8"/>
    <w:rsid w:val="64D01EC6"/>
    <w:rsid w:val="64D0712E"/>
    <w:rsid w:val="64D703D3"/>
    <w:rsid w:val="64DA3B7F"/>
    <w:rsid w:val="64EF6ED0"/>
    <w:rsid w:val="65000940"/>
    <w:rsid w:val="650949DA"/>
    <w:rsid w:val="65096472"/>
    <w:rsid w:val="65123692"/>
    <w:rsid w:val="65160A7A"/>
    <w:rsid w:val="651903AA"/>
    <w:rsid w:val="651A1677"/>
    <w:rsid w:val="651C7720"/>
    <w:rsid w:val="65281799"/>
    <w:rsid w:val="653037BC"/>
    <w:rsid w:val="65344F9B"/>
    <w:rsid w:val="6541015C"/>
    <w:rsid w:val="65451E72"/>
    <w:rsid w:val="654E5913"/>
    <w:rsid w:val="654F24C6"/>
    <w:rsid w:val="655E0572"/>
    <w:rsid w:val="65661E29"/>
    <w:rsid w:val="656732DA"/>
    <w:rsid w:val="65736314"/>
    <w:rsid w:val="65746908"/>
    <w:rsid w:val="65777F05"/>
    <w:rsid w:val="65783268"/>
    <w:rsid w:val="657B7424"/>
    <w:rsid w:val="65954830"/>
    <w:rsid w:val="659E59B2"/>
    <w:rsid w:val="659E6D42"/>
    <w:rsid w:val="65A76E6F"/>
    <w:rsid w:val="65AF4147"/>
    <w:rsid w:val="65B6147E"/>
    <w:rsid w:val="65BA45C5"/>
    <w:rsid w:val="65D531DB"/>
    <w:rsid w:val="65D6339F"/>
    <w:rsid w:val="65E85C84"/>
    <w:rsid w:val="660A2255"/>
    <w:rsid w:val="660F64B8"/>
    <w:rsid w:val="66135E5F"/>
    <w:rsid w:val="6615183A"/>
    <w:rsid w:val="66203220"/>
    <w:rsid w:val="66290E7F"/>
    <w:rsid w:val="66323A48"/>
    <w:rsid w:val="66323ABF"/>
    <w:rsid w:val="66351BA1"/>
    <w:rsid w:val="6646740B"/>
    <w:rsid w:val="66467AE3"/>
    <w:rsid w:val="664C4300"/>
    <w:rsid w:val="66581178"/>
    <w:rsid w:val="66587E6E"/>
    <w:rsid w:val="665B302D"/>
    <w:rsid w:val="66610FA6"/>
    <w:rsid w:val="66662904"/>
    <w:rsid w:val="666C56F2"/>
    <w:rsid w:val="6675602B"/>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761EA8"/>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C3C74"/>
    <w:rsid w:val="68665B7B"/>
    <w:rsid w:val="6879624B"/>
    <w:rsid w:val="689378C0"/>
    <w:rsid w:val="68937D5B"/>
    <w:rsid w:val="689B7CA9"/>
    <w:rsid w:val="68A136DE"/>
    <w:rsid w:val="68AC3EAB"/>
    <w:rsid w:val="68BD5B96"/>
    <w:rsid w:val="68C02C8B"/>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6E7C06"/>
    <w:rsid w:val="6974279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50E59"/>
    <w:rsid w:val="6A69355F"/>
    <w:rsid w:val="6A7A443E"/>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C458B"/>
    <w:rsid w:val="6AEF6767"/>
    <w:rsid w:val="6AF01DF4"/>
    <w:rsid w:val="6AF722D6"/>
    <w:rsid w:val="6AF96B4F"/>
    <w:rsid w:val="6B032970"/>
    <w:rsid w:val="6B05071E"/>
    <w:rsid w:val="6B1E7330"/>
    <w:rsid w:val="6B2C3E2C"/>
    <w:rsid w:val="6B3633BF"/>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661D0"/>
    <w:rsid w:val="6C713B28"/>
    <w:rsid w:val="6C751BFE"/>
    <w:rsid w:val="6C7D6DBD"/>
    <w:rsid w:val="6C7F5907"/>
    <w:rsid w:val="6C816040"/>
    <w:rsid w:val="6C86422B"/>
    <w:rsid w:val="6C944515"/>
    <w:rsid w:val="6CB07A06"/>
    <w:rsid w:val="6CC12B02"/>
    <w:rsid w:val="6CC9715F"/>
    <w:rsid w:val="6CD51938"/>
    <w:rsid w:val="6CD70286"/>
    <w:rsid w:val="6CDB0F24"/>
    <w:rsid w:val="6CDE3BEF"/>
    <w:rsid w:val="6CE31552"/>
    <w:rsid w:val="6CE813E6"/>
    <w:rsid w:val="6CED0409"/>
    <w:rsid w:val="6CF81862"/>
    <w:rsid w:val="6CFF5E26"/>
    <w:rsid w:val="6D162F07"/>
    <w:rsid w:val="6D1B023C"/>
    <w:rsid w:val="6D1D6F1E"/>
    <w:rsid w:val="6D26720C"/>
    <w:rsid w:val="6D30426D"/>
    <w:rsid w:val="6D425D94"/>
    <w:rsid w:val="6D5320B2"/>
    <w:rsid w:val="6D5D1451"/>
    <w:rsid w:val="6D5F206D"/>
    <w:rsid w:val="6D5F55B8"/>
    <w:rsid w:val="6D605099"/>
    <w:rsid w:val="6D6B16F8"/>
    <w:rsid w:val="6D74711C"/>
    <w:rsid w:val="6D765FFF"/>
    <w:rsid w:val="6D7F263B"/>
    <w:rsid w:val="6D8766DD"/>
    <w:rsid w:val="6D9546CD"/>
    <w:rsid w:val="6D973E98"/>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2D5DD3"/>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06468E"/>
    <w:rsid w:val="6F0A1398"/>
    <w:rsid w:val="6F1E5B39"/>
    <w:rsid w:val="6F1F2151"/>
    <w:rsid w:val="6F291EC3"/>
    <w:rsid w:val="6F326E8A"/>
    <w:rsid w:val="6F336D3B"/>
    <w:rsid w:val="6F364337"/>
    <w:rsid w:val="6F3D2EE3"/>
    <w:rsid w:val="6F487A62"/>
    <w:rsid w:val="6F4C2399"/>
    <w:rsid w:val="6F6E46E5"/>
    <w:rsid w:val="6F7633D5"/>
    <w:rsid w:val="6F926105"/>
    <w:rsid w:val="6F936DA7"/>
    <w:rsid w:val="6FAD7FAF"/>
    <w:rsid w:val="6FBA04AD"/>
    <w:rsid w:val="6FC14CA3"/>
    <w:rsid w:val="6FC45506"/>
    <w:rsid w:val="6FD528F5"/>
    <w:rsid w:val="6FDB3FEE"/>
    <w:rsid w:val="6FF71E72"/>
    <w:rsid w:val="701148CE"/>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A27A1"/>
    <w:rsid w:val="71BD61CB"/>
    <w:rsid w:val="71C35752"/>
    <w:rsid w:val="71CA47E9"/>
    <w:rsid w:val="71D25F5B"/>
    <w:rsid w:val="71D445FB"/>
    <w:rsid w:val="71DB0FA8"/>
    <w:rsid w:val="71DB4CE0"/>
    <w:rsid w:val="71EB5978"/>
    <w:rsid w:val="71F33AE1"/>
    <w:rsid w:val="71F7556F"/>
    <w:rsid w:val="720B1581"/>
    <w:rsid w:val="721C396E"/>
    <w:rsid w:val="72221A00"/>
    <w:rsid w:val="72231BA8"/>
    <w:rsid w:val="72232266"/>
    <w:rsid w:val="722C54A3"/>
    <w:rsid w:val="72350A0C"/>
    <w:rsid w:val="72383F61"/>
    <w:rsid w:val="723C7C76"/>
    <w:rsid w:val="724B7292"/>
    <w:rsid w:val="724C5CA0"/>
    <w:rsid w:val="7253023D"/>
    <w:rsid w:val="725E03C2"/>
    <w:rsid w:val="72941043"/>
    <w:rsid w:val="72990659"/>
    <w:rsid w:val="72A07B6D"/>
    <w:rsid w:val="72A2593C"/>
    <w:rsid w:val="72AC7415"/>
    <w:rsid w:val="72B844E5"/>
    <w:rsid w:val="72BC2719"/>
    <w:rsid w:val="72C85BEF"/>
    <w:rsid w:val="72CA47E3"/>
    <w:rsid w:val="72CD451D"/>
    <w:rsid w:val="72D07A01"/>
    <w:rsid w:val="72DC46DA"/>
    <w:rsid w:val="72F32716"/>
    <w:rsid w:val="72FA2E42"/>
    <w:rsid w:val="72FD6F73"/>
    <w:rsid w:val="730A0222"/>
    <w:rsid w:val="730B5AA8"/>
    <w:rsid w:val="7313165C"/>
    <w:rsid w:val="73154A17"/>
    <w:rsid w:val="7320739A"/>
    <w:rsid w:val="7322070E"/>
    <w:rsid w:val="73274FF7"/>
    <w:rsid w:val="732902F2"/>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F4E78"/>
    <w:rsid w:val="745F58C9"/>
    <w:rsid w:val="746D2286"/>
    <w:rsid w:val="747702FE"/>
    <w:rsid w:val="747E4BC0"/>
    <w:rsid w:val="74882603"/>
    <w:rsid w:val="748B73CA"/>
    <w:rsid w:val="748C2114"/>
    <w:rsid w:val="748C5778"/>
    <w:rsid w:val="748D5FDB"/>
    <w:rsid w:val="748E5D73"/>
    <w:rsid w:val="74923460"/>
    <w:rsid w:val="7493075A"/>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437013"/>
    <w:rsid w:val="754D6753"/>
    <w:rsid w:val="755139F5"/>
    <w:rsid w:val="75534D45"/>
    <w:rsid w:val="75610472"/>
    <w:rsid w:val="756C06A1"/>
    <w:rsid w:val="756E30B4"/>
    <w:rsid w:val="756F50FD"/>
    <w:rsid w:val="757C0EA6"/>
    <w:rsid w:val="75815E06"/>
    <w:rsid w:val="75826BB3"/>
    <w:rsid w:val="758613A5"/>
    <w:rsid w:val="758C53BB"/>
    <w:rsid w:val="759E23E2"/>
    <w:rsid w:val="75B07B9E"/>
    <w:rsid w:val="75BF75C6"/>
    <w:rsid w:val="75D042C6"/>
    <w:rsid w:val="75E22C73"/>
    <w:rsid w:val="75ED14A6"/>
    <w:rsid w:val="75EF2CF0"/>
    <w:rsid w:val="75EF2DEB"/>
    <w:rsid w:val="75F1275A"/>
    <w:rsid w:val="76277EFD"/>
    <w:rsid w:val="76423FD9"/>
    <w:rsid w:val="76477164"/>
    <w:rsid w:val="764A29FA"/>
    <w:rsid w:val="76606FC3"/>
    <w:rsid w:val="76622CB6"/>
    <w:rsid w:val="766E35A9"/>
    <w:rsid w:val="767636AD"/>
    <w:rsid w:val="76787031"/>
    <w:rsid w:val="768573C5"/>
    <w:rsid w:val="76880861"/>
    <w:rsid w:val="76A010D7"/>
    <w:rsid w:val="76A03502"/>
    <w:rsid w:val="76A41849"/>
    <w:rsid w:val="76B3533A"/>
    <w:rsid w:val="76BA1244"/>
    <w:rsid w:val="76C20B40"/>
    <w:rsid w:val="76C31E58"/>
    <w:rsid w:val="76C42A7B"/>
    <w:rsid w:val="76C67B12"/>
    <w:rsid w:val="76D63214"/>
    <w:rsid w:val="76D726A5"/>
    <w:rsid w:val="76D800DF"/>
    <w:rsid w:val="76ED6033"/>
    <w:rsid w:val="76EF1E2A"/>
    <w:rsid w:val="76F50971"/>
    <w:rsid w:val="76F75089"/>
    <w:rsid w:val="76FB3F45"/>
    <w:rsid w:val="77144FC7"/>
    <w:rsid w:val="77163BE6"/>
    <w:rsid w:val="77183B9A"/>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71E8"/>
    <w:rsid w:val="77DF5D5C"/>
    <w:rsid w:val="77E24B6F"/>
    <w:rsid w:val="77E25558"/>
    <w:rsid w:val="77F0023C"/>
    <w:rsid w:val="77F56C55"/>
    <w:rsid w:val="77F638DE"/>
    <w:rsid w:val="77F71011"/>
    <w:rsid w:val="77FC2229"/>
    <w:rsid w:val="7804644F"/>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61B68"/>
    <w:rsid w:val="7A580F1F"/>
    <w:rsid w:val="7A5B16D6"/>
    <w:rsid w:val="7A5D1507"/>
    <w:rsid w:val="7A5F20CE"/>
    <w:rsid w:val="7A695154"/>
    <w:rsid w:val="7A6E52AF"/>
    <w:rsid w:val="7A7345B3"/>
    <w:rsid w:val="7A797569"/>
    <w:rsid w:val="7A83252F"/>
    <w:rsid w:val="7A892C81"/>
    <w:rsid w:val="7A903B9B"/>
    <w:rsid w:val="7A9C31FB"/>
    <w:rsid w:val="7AA62C7A"/>
    <w:rsid w:val="7AA70A78"/>
    <w:rsid w:val="7AAA1482"/>
    <w:rsid w:val="7AB26C20"/>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71DD"/>
    <w:rsid w:val="7B5F686F"/>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D3129"/>
    <w:rsid w:val="7BF258E8"/>
    <w:rsid w:val="7BF473BA"/>
    <w:rsid w:val="7BFC51FA"/>
    <w:rsid w:val="7C032DCB"/>
    <w:rsid w:val="7C03520E"/>
    <w:rsid w:val="7C095060"/>
    <w:rsid w:val="7C0E556A"/>
    <w:rsid w:val="7C22653E"/>
    <w:rsid w:val="7C297F2B"/>
    <w:rsid w:val="7C3D3C74"/>
    <w:rsid w:val="7C5C15D6"/>
    <w:rsid w:val="7C61422D"/>
    <w:rsid w:val="7C686097"/>
    <w:rsid w:val="7C7849B6"/>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27F1A"/>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BD25C7"/>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9"/>
    <w:qFormat/>
    <w:uiPriority w:val="0"/>
    <w:pPr>
      <w:jc w:val="left"/>
    </w:pPr>
  </w:style>
  <w:style w:type="paragraph" w:styleId="5">
    <w:name w:val="Balloon Text"/>
    <w:basedOn w:val="1"/>
    <w:link w:val="1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2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table" w:customStyle="1" w:styleId="17">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character" w:customStyle="1" w:styleId="1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1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20">
    <w:name w:val="批注主题 字符"/>
    <w:basedOn w:val="19"/>
    <w:link w:val="9"/>
    <w:qFormat/>
    <w:uiPriority w:val="0"/>
    <w:rPr>
      <w:rFonts w:asciiTheme="minorHAnsi" w:hAnsiTheme="minorHAnsi" w:eastAsiaTheme="minorEastAsia" w:cstheme="minorBidi"/>
      <w:b/>
      <w:bCs/>
      <w:kern w:val="2"/>
      <w:sz w:val="21"/>
      <w:szCs w:val="24"/>
    </w:rPr>
  </w:style>
  <w:style w:type="character" w:customStyle="1" w:styleId="21">
    <w:name w:val="Unresolved Mention"/>
    <w:basedOn w:val="12"/>
    <w:semiHidden/>
    <w:unhideWhenUsed/>
    <w:qFormat/>
    <w:uiPriority w:val="99"/>
    <w:rPr>
      <w:color w:val="605E5C"/>
      <w:shd w:val="clear" w:color="auto" w:fill="E1DFDD"/>
    </w:rPr>
  </w:style>
  <w:style w:type="paragraph" w:styleId="2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1.xml"/><Relationship Id="rId13" Type="http://schemas.openxmlformats.org/officeDocument/2006/relationships/image" Target="media/image5.jpeg"/><Relationship Id="rId12" Type="http://schemas.openxmlformats.org/officeDocument/2006/relationships/image" Target="media/image4.png"/><Relationship Id="rId11" Type="http://schemas.openxmlformats.org/officeDocument/2006/relationships/image" Target="media/image3.wmf"/><Relationship Id="rId10" Type="http://schemas.openxmlformats.org/officeDocument/2006/relationships/oleObject" Target="embeddings/oleObject1.bin"/><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45830144"/>
        <c:axId val="198564608"/>
      </c:barChart>
      <c:catAx>
        <c:axId val="245830144"/>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8564608"/>
        <c:crosses val="autoZero"/>
        <c:auto val="1"/>
        <c:lblAlgn val="ctr"/>
        <c:lblOffset val="100"/>
        <c:tickLblSkip val="1"/>
        <c:noMultiLvlLbl val="0"/>
      </c:catAx>
      <c:valAx>
        <c:axId val="198564608"/>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r>
                  <a:rPr lang="en-US" altLang="zh-CN" sz="1000" b="0" i="0" u="none" strike="noStrike" kern="1200" baseline="0">
                    <a:solidFill>
                      <a:sysClr val="windowText" lastClr="000000">
                        <a:lumMod val="65000"/>
                        <a:lumOff val="35000"/>
                      </a:sysClr>
                    </a:solidFill>
                    <a:latin typeface="+mn-lt"/>
                    <a:ea typeface="+mn-ea"/>
                    <a:cs typeface="+mn-cs"/>
                  </a:rPr>
                  <a:t> </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5830144"/>
        <c:crosses val="autoZero"/>
        <c:crossBetween val="between"/>
      </c:valAx>
      <c:spPr>
        <a:noFill/>
        <a:ln>
          <a:noFill/>
        </a:ln>
        <a:effectLst/>
      </c:spPr>
    </c:plotArea>
    <c:plotVisOnly val="1"/>
    <c:dispBlanksAs val="gap"/>
    <c:showDLblsOverMax val="0"/>
    <c:extLst>
      <c:ext uri="{0b15fc19-7d7d-44ad-8c2d-2c3a37ce22c3}">
        <chartProps xmlns="https://web.wps.cn/et/2018/main" chartId="{c1a00d25-4c36-41e0-8b12-82aef6ea92a8}"/>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2683</Words>
  <Characters>15662</Characters>
  <Lines>137</Lines>
  <Paragraphs>38</Paragraphs>
  <TotalTime>0</TotalTime>
  <ScaleCrop>false</ScaleCrop>
  <LinksUpToDate>false</LinksUpToDate>
  <CharactersWithSpaces>18159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2021-06-23T09:39:00Z</dcterms:created>
  <dc:creator>A</dc:creator>
  <cp:lastModifiedBy>请叫我少女</cp:lastModifiedBy>
  <dcterms:modified xsi:type="dcterms:W3CDTF">2026-08-19T09:43:54Z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eyJoZGlkIjoiYWVjNDRmN2M4Mjk2M2Y3OTc5NWQ0ZWU5Y2FkY2ZhYmQiLCJ1c2VySWQiOiIzMTYwMDQ5NTEifQ==</vt:lpwstr>
  </property>
  <property fmtid="{D5CDD505-2E9C-101B-9397-08002B2CF9AE}" pid="4" name="ICV">
    <vt:lpwstr>05F84D234F0140A79A4C0EF6424996D4_13</vt:lpwstr>
  </property>
</Properties>
</file>