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D2B7">
      <w:pPr>
        <w:adjustRightInd w:val="0"/>
        <w:snapToGrid w:val="0"/>
        <w:spacing w:before="312" w:beforeLines="100"/>
      </w:pPr>
      <w:r>
        <w:rPr>
          <w:rFonts w:hint="eastAsia" w:ascii="Times New Roman" w:hAnsi="Times New Roman" w:cs="Times New Roman"/>
          <w:b/>
          <w:bCs/>
        </w:rPr>
        <w:t>Re</w:t>
      </w:r>
      <w:r>
        <w:rPr>
          <w:rFonts w:hint="eastAsia" w:ascii="Times New Roman" w:hAnsi="Times New Roman" w:cs="Times New Roman"/>
          <w:b/>
          <w:bCs/>
          <w:lang w:val="en-US" w:eastAsia="zh-Hans"/>
        </w:rPr>
        <w:t>port</w:t>
      </w:r>
      <w:r>
        <w:rPr>
          <w:rFonts w:hint="default" w:ascii="Times New Roman" w:hAnsi="Times New Roman" w:cs="Times New Roman"/>
          <w:b/>
          <w:bCs/>
          <w:lang w:eastAsia="zh-Hans"/>
        </w:rPr>
        <w:t>/Guideline</w:t>
      </w:r>
    </w:p>
    <w:p w14:paraId="774F609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7E2482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16A185A">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0BB10420">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1994FD86">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3660644">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072B0A6">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E15F68A">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813D5D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7FBE1E0B">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159F2754">
      <w:pPr>
        <w:adjustRightInd w:val="0"/>
        <w:snapToGrid w:val="0"/>
        <w:spacing w:before="156" w:beforeLines="50"/>
        <w:rPr>
          <w:rFonts w:ascii="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w:t>
      </w:r>
      <w:r>
        <w:rPr>
          <w:rStyle w:val="16"/>
          <w:rFonts w:hint="eastAsia" w:ascii="Times New Roman" w:hAnsi="Times New Roman"/>
          <w:b/>
          <w:bCs/>
          <w:i/>
          <w:sz w:val="18"/>
          <w:szCs w:val="18"/>
        </w:rPr>
        <w:t>office</w:t>
      </w:r>
      <w:r>
        <w:rPr>
          <w:rStyle w:val="16"/>
          <w:rFonts w:ascii="Times New Roman" w:hAnsi="Times New Roman"/>
          <w:b/>
          <w:bCs/>
          <w:i/>
          <w:sz w:val="18"/>
          <w:szCs w:val="18"/>
        </w:rPr>
        <w:t>@</w:t>
      </w:r>
      <w:r>
        <w:rPr>
          <w:rStyle w:val="16"/>
          <w:rFonts w:hint="eastAsia" w:ascii="Times New Roman" w:hAnsi="Times New Roman"/>
          <w:b/>
          <w:bCs/>
          <w:i/>
          <w:sz w:val="18"/>
          <w:szCs w:val="18"/>
        </w:rPr>
        <w:t>aisjournal</w:t>
      </w:r>
      <w:r>
        <w:rPr>
          <w:rStyle w:val="16"/>
          <w:rFonts w:ascii="Times New Roman" w:hAnsi="Times New Roman"/>
          <w:b/>
          <w:bCs/>
          <w:i/>
          <w:sz w:val="18"/>
          <w:szCs w:val="18"/>
        </w:rPr>
        <w:t>.</w:t>
      </w:r>
      <w:r>
        <w:rPr>
          <w:rStyle w:val="16"/>
          <w:rFonts w:hint="eastAsia" w:ascii="Times New Roman" w:hAnsi="Times New Roman"/>
          <w:b/>
          <w:bCs/>
          <w:i/>
          <w:sz w:val="18"/>
          <w:szCs w:val="18"/>
        </w:rPr>
        <w:t>n</w:t>
      </w:r>
      <w:r>
        <w:rPr>
          <w:rStyle w:val="16"/>
          <w:rFonts w:hint="eastAsia" w:ascii="Times New Roman" w:hAnsi="Times New Roman"/>
          <w:b/>
          <w:bCs/>
          <w:i/>
          <w:sz w:val="18"/>
          <w:szCs w:val="18"/>
        </w:rPr>
        <w:fldChar w:fldCharType="end"/>
      </w:r>
      <w:r>
        <w:rPr>
          <w:rStyle w:val="16"/>
          <w:rFonts w:hint="eastAsia" w:ascii="Times New Roman" w:hAnsi="Times New Roman"/>
          <w:b/>
          <w:bCs/>
          <w:i/>
          <w:sz w:val="18"/>
          <w:szCs w:val="18"/>
        </w:rPr>
        <w:t>et.</w:t>
      </w:r>
    </w:p>
    <w:p w14:paraId="2FE275D3">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908E21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D3C412F">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615CD2D8">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DC5BF5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A3E8F5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E5EE06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0C7EF024">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614C1E1C">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032D5A5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78293E5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F259F02">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bookmarkEnd w:id="3"/>
    </w:p>
    <w:p w14:paraId="7B72CAD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619C53F">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D6ECC6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9220A96">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CC696B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808080" w:themeColor="background1" w:themeShade="80"/>
          <w:sz w:val="18"/>
          <w:szCs w:val="18"/>
        </w:rPr>
        <w:t>http://www.wma.net/en/30publications/10policies/b3/</w:t>
      </w:r>
      <w:r>
        <w:rPr>
          <w:rStyle w:val="16"/>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1E336B5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5A70EE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B329272">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F0F906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3B917D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7376392">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523583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7CF5A6E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652F0D4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22C12F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ED4871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405809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C986E2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2FB50B4B">
        <w:trPr>
          <w:trHeight w:val="394" w:hRule="atLeast"/>
          <w:jc w:val="center"/>
        </w:trPr>
        <w:tc>
          <w:tcPr>
            <w:tcW w:w="1533" w:type="dxa"/>
            <w:vAlign w:val="center"/>
          </w:tcPr>
          <w:p w14:paraId="640815F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65A8D9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578802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FC46FD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04B5D6E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34C1120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F00642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307FB66B">
        <w:trPr>
          <w:trHeight w:val="399" w:hRule="atLeast"/>
          <w:jc w:val="center"/>
        </w:trPr>
        <w:tc>
          <w:tcPr>
            <w:tcW w:w="1533" w:type="dxa"/>
            <w:vAlign w:val="center"/>
          </w:tcPr>
          <w:p w14:paraId="5BC236D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353013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B6D0F0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139E9BE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08AEECF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46E1A2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78CF2E5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CD64C9B">
        <w:trPr>
          <w:trHeight w:val="399" w:hRule="atLeast"/>
          <w:jc w:val="center"/>
        </w:trPr>
        <w:tc>
          <w:tcPr>
            <w:tcW w:w="1533" w:type="dxa"/>
            <w:vAlign w:val="center"/>
          </w:tcPr>
          <w:p w14:paraId="6E142D9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02D94BD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34909F68">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2BCB1B7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425D2F5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D915E4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FE17BC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2CCF35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E6500CF">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3A5B392">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352A47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9F603B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DB5A1C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924181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94A2CF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CD65CA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C25F8B2">
        <w:trPr>
          <w:jc w:val="center"/>
        </w:trPr>
        <w:tc>
          <w:tcPr>
            <w:tcW w:w="8409" w:type="dxa"/>
          </w:tcPr>
          <w:p w14:paraId="01A760A0">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66B2555">
            <w:pPr>
              <w:pStyle w:val="27"/>
              <w:spacing w:line="260" w:lineRule="atLeast"/>
              <w:jc w:val="center"/>
              <w:rPr>
                <w:rFonts w:ascii="Times New Roman" w:hAnsi="Times New Roman"/>
              </w:rPr>
            </w:pPr>
            <w:r>
              <w:rPr>
                <w:rFonts w:ascii="Times New Roman" w:hAnsi="Times New Roman"/>
              </w:rPr>
              <w:t>(1)</w:t>
            </w:r>
          </w:p>
        </w:tc>
      </w:tr>
    </w:tbl>
    <w:p w14:paraId="31433F3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F46158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B6F0313">
        <w:tc>
          <w:tcPr>
            <w:tcW w:w="4422" w:type="dxa"/>
          </w:tcPr>
          <w:p w14:paraId="54F30884">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7EF33CE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D942599">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60C494B">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9C3EE42">
        <w:tc>
          <w:tcPr>
            <w:tcW w:w="8844" w:type="dxa"/>
            <w:gridSpan w:val="2"/>
          </w:tcPr>
          <w:p w14:paraId="1902C20B">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96E3A9">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333418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580D37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A32D80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55DCC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8404F5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2B143D9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DF748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43445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D543B1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92D11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7DC1F38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bookmarkEnd w:id="2"/>
    </w:p>
    <w:p w14:paraId="5F83D781">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071FD69D">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bookmarkStart w:id="4" w:name="OLE_LINK2"/>
      <w:r>
        <w:rPr>
          <w:rFonts w:hint="eastAsia" w:ascii="Times New Roman" w:hAnsi="Times New Roman" w:cs="Times New Roman"/>
          <w:sz w:val="20"/>
          <w:szCs w:val="20"/>
        </w:rPr>
        <w:t>An attractive and interesting conclusion is always welcome.</w:t>
      </w:r>
      <w:bookmarkEnd w:id="4"/>
    </w:p>
    <w:p w14:paraId="09E7B3BD">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1C7B0F0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7455EBA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551002A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A7CEE1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008446E">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AF67A0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71D2DD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304F32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EF9F82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BB655F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CB1B49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C5885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4CC2220">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874B96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E46A9B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0D3A29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w:t>
      </w:r>
    </w:p>
    <w:p w14:paraId="60D921A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78F0BD2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F92CFF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610F2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810649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29A9D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FB1BC1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13" w:name="_GoBack"/>
      <w:bookmarkEnd w:id="13"/>
      <w:r>
        <w:rPr>
          <w:rFonts w:ascii="Times New Roman" w:hAnsi="Times New Roman" w:eastAsia="宋体" w:cs="Times New Roman"/>
          <w:color w:val="000000"/>
          <w:kern w:val="0"/>
          <w:sz w:val="20"/>
          <w:szCs w:val="20"/>
        </w:rPr>
        <w:t>.</w:t>
      </w:r>
    </w:p>
    <w:p w14:paraId="69EFA100">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510A557">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96D75C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ACB2E3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28B7FB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62461FD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59842C0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65AE041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C3972C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36813344">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2B4C0EA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165E14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9B5302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6F4B7E4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4504072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4C91D52">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8C3406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52CC630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1A16FD9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2994EEAE">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Style w:val="16"/>
          <w:rFonts w:hint="eastAsia" w:ascii="Times New Roman" w:hAnsi="Times New Roman" w:eastAsia="宋体" w:cs="Times New Roman"/>
          <w:b w:val="0"/>
          <w:bCs w:val="0"/>
          <w:i w:val="0"/>
          <w:iCs w:val="0"/>
          <w:color w:val="000000"/>
          <w:kern w:val="0"/>
          <w:sz w:val="20"/>
          <w:szCs w:val="20"/>
          <w:u w:val="none"/>
          <w:lang w:val="en-US" w:eastAsia="zh-CN"/>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C495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1FD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491D37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931CFA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6"/>
        <w:rFonts w:ascii="Arial" w:hAnsi="Arial"/>
        <w:b/>
        <w:bCs/>
        <w:sz w:val="16"/>
        <w:szCs w:val="16"/>
      </w:rPr>
      <w:t>www</w:t>
    </w:r>
    <w:r>
      <w:rPr>
        <w:rStyle w:val="16"/>
        <w:rFonts w:hint="eastAsia" w:ascii="Arial" w:hAnsi="Arial"/>
        <w:b/>
        <w:bCs/>
        <w:sz w:val="16"/>
        <w:szCs w:val="16"/>
      </w:rPr>
      <w:t>.aisjournal</w:t>
    </w:r>
    <w:r>
      <w:rPr>
        <w:rStyle w:val="16"/>
        <w:rFonts w:ascii="Arial" w:hAnsi="Arial"/>
        <w:b/>
        <w:bCs/>
        <w:sz w:val="16"/>
        <w:szCs w:val="16"/>
      </w:rPr>
      <w:t>.com</w:t>
    </w:r>
    <w:r>
      <w:rPr>
        <w:rStyle w:val="16"/>
        <w:rFonts w:ascii="Arial" w:hAnsi="Arial"/>
        <w:b/>
        <w:bCs/>
        <w:sz w:val="16"/>
        <w:szCs w:val="16"/>
      </w:rPr>
      <w:fldChar w:fldCharType="end"/>
    </w:r>
  </w:p>
  <w:p w14:paraId="59C460B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860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1FE2F947">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11C74">
    <w:pPr>
      <w:pStyle w:val="6"/>
      <w:adjustRightInd w:val="0"/>
    </w:pP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4BEC">
    <w:pPr>
      <w:pStyle w:val="6"/>
    </w:pPr>
    <w:bookmarkStart w:id="11" w:name="OLE_LINK7"/>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0</wp:posOffset>
              </wp:positionV>
              <wp:extent cx="2854325" cy="481330"/>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242BEB3C">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6CA769B5">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文本框 4" o:spid="_x0000_s1026" o:spt="202" type="#_x0000_t202" style="position:absolute;left:0pt;margin-left:234.9pt;margin-top:0pt;height:37.9pt;width:224.75pt;z-index:251660288;mso-width-relative:page;mso-height-relative:page;" filled="f" stroked="f" coordsize="21600,21600" o:gfxdata="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UtjI1QAAAAcBAAAPAAAAAAAAAAEAIAAAACIAAABkcnMvZG93&#10;bnJldi54bWxQSwECFAAUAAAACACHTuJAYaeE+coBAAB8AwAADgAAAAAAAAABACAAAAAkAQAAZHJz&#10;L2Uyb0RvYy54bWxQSwUGAAAAAAYABgBZAQAAYAUAAAAA&#10;">
              <v:fill on="f" focussize="0,0"/>
              <v:stroke on="f"/>
              <v:imagedata o:title=""/>
              <o:lock v:ext="edit" aspectratio="f"/>
              <v:textbox>
                <w:txbxContent>
                  <w:p w14:paraId="242BEB3C">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6CA769B5">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bookmarkEnd w:id="11"/>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1378D"/>
    <w:rsid w:val="000178BA"/>
    <w:rsid w:val="00030B75"/>
    <w:rsid w:val="0003284A"/>
    <w:rsid w:val="00061D81"/>
    <w:rsid w:val="000D5EBD"/>
    <w:rsid w:val="0015526D"/>
    <w:rsid w:val="00172A27"/>
    <w:rsid w:val="0019510B"/>
    <w:rsid w:val="00225B4A"/>
    <w:rsid w:val="00245DD5"/>
    <w:rsid w:val="00273491"/>
    <w:rsid w:val="002A60AC"/>
    <w:rsid w:val="00331E76"/>
    <w:rsid w:val="00350125"/>
    <w:rsid w:val="003608FF"/>
    <w:rsid w:val="003B627D"/>
    <w:rsid w:val="003D65B8"/>
    <w:rsid w:val="00423880"/>
    <w:rsid w:val="004874F4"/>
    <w:rsid w:val="00497675"/>
    <w:rsid w:val="004F52CE"/>
    <w:rsid w:val="0055192A"/>
    <w:rsid w:val="005570D9"/>
    <w:rsid w:val="005D496B"/>
    <w:rsid w:val="00637595"/>
    <w:rsid w:val="00732C87"/>
    <w:rsid w:val="007627E4"/>
    <w:rsid w:val="007B40B4"/>
    <w:rsid w:val="007D1FD5"/>
    <w:rsid w:val="007E638A"/>
    <w:rsid w:val="008075EB"/>
    <w:rsid w:val="0082460F"/>
    <w:rsid w:val="00842C21"/>
    <w:rsid w:val="00873E39"/>
    <w:rsid w:val="00875ECF"/>
    <w:rsid w:val="008A495C"/>
    <w:rsid w:val="008B3257"/>
    <w:rsid w:val="008C7089"/>
    <w:rsid w:val="00921419"/>
    <w:rsid w:val="00941AAB"/>
    <w:rsid w:val="00997426"/>
    <w:rsid w:val="00A225CB"/>
    <w:rsid w:val="00A37A37"/>
    <w:rsid w:val="00A74570"/>
    <w:rsid w:val="00B42AC5"/>
    <w:rsid w:val="00B66868"/>
    <w:rsid w:val="00B82671"/>
    <w:rsid w:val="00BB3538"/>
    <w:rsid w:val="00C02CFC"/>
    <w:rsid w:val="00C1012A"/>
    <w:rsid w:val="00C130AB"/>
    <w:rsid w:val="00C5076C"/>
    <w:rsid w:val="00C51285"/>
    <w:rsid w:val="00C6365E"/>
    <w:rsid w:val="00CA2500"/>
    <w:rsid w:val="00D04F5D"/>
    <w:rsid w:val="00D16246"/>
    <w:rsid w:val="00DD1994"/>
    <w:rsid w:val="00DF5C43"/>
    <w:rsid w:val="00E261C7"/>
    <w:rsid w:val="00E31605"/>
    <w:rsid w:val="00E86821"/>
    <w:rsid w:val="00E93C8C"/>
    <w:rsid w:val="00E93F18"/>
    <w:rsid w:val="00EA21CF"/>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1C0A71"/>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B1EC3"/>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1B9E"/>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5353A"/>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CA0F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804"/>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CE2EE9"/>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441FF"/>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EDB699"/>
    <w:rsid w:val="7FF85C31"/>
    <w:rsid w:val="7FF8778A"/>
    <w:rsid w:val="BB3BA817"/>
    <w:rsid w:val="BF0FB026"/>
    <w:rsid w:val="EBF6A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extLst>
      <c:ext uri="{0b15fc19-7d7d-44ad-8c2d-2c3a37ce22c3}">
        <chartProps xmlns="https://web.wps.cn/et/2018/main" chartId="{ce9d5973-c2a1-4d36-a2f5-b6f5b3376a7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2102</Words>
  <Characters>12681</Characters>
  <Lines>100</Lines>
  <Paragraphs>28</Paragraphs>
  <TotalTime>0</TotalTime>
  <ScaleCrop>false</ScaleCrop>
  <LinksUpToDate>false</LinksUpToDate>
  <CharactersWithSpaces>14612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c:creator>
  <cp:lastModifiedBy>Zoey Han</cp:lastModifiedBy>
  <dcterms:modified xsi:type="dcterms:W3CDTF">2026-02-04T10:57:14Z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E6454A85A77138B53F5A8169D89B2219_43</vt:lpwstr>
  </property>
</Properties>
</file>