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14" w:name="_GoBack"/>
      <w:bookmarkEnd w:id="14"/>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6EF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016637C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016637C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B9615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065A"/>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0846"/>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2F6B"/>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71AA2"/>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66954"/>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12752</Characters>
  <Lines>110</Lines>
  <Paragraphs>31</Paragraphs>
  <TotalTime>0</TotalTime>
  <ScaleCrop>false</ScaleCrop>
  <LinksUpToDate>false</LinksUpToDate>
  <CharactersWithSpaces>14739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2025-11-28T06:43:45Z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1F63E53221EB4F10AA286D0C8282A078_13</vt:lpwstr>
  </property>
  <property fmtid="{D5CDD505-2E9C-101B-9397-08002B2CF9AE}" pid="4" name="KSOTemplateDocerSaveRecord">
    <vt:lpwstr>eyJoZGlkIjoiOTA2YjY0NTI4MmE5YmJlN2Y2YTBlYjlhZTYyNzliNGUiLCJ1c2VySWQiOiIyNDgzNDAxMTYifQ==</vt:lpwstr>
  </property>
</Properties>
</file>