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A1BB6">
      <w:pPr>
        <w:adjustRightInd w:val="0"/>
        <w:snapToGrid w:val="0"/>
        <w:spacing w:before="312" w:beforeLines="100"/>
        <w:rPr>
          <w:rFonts w:ascii="Times New Roman" w:hAnsi="Times New Roman" w:cs="Times New Roman"/>
          <w:sz w:val="24"/>
          <w:szCs w:val="32"/>
        </w:rPr>
      </w:pPr>
      <w:r>
        <w:rPr>
          <w:sz w:val="24"/>
          <w:szCs w:val="32"/>
        </w:rP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0"/>
                    <wp:lineTo x="0" y="21600"/>
                    <wp:lineTo x="21600" y="21600"/>
                    <wp:lineTo x="21600" y="0"/>
                  </wp:wrapPolygon>
                </wp:wrapTight>
                <wp:docPr id="11" name="组合 11"/>
                <wp:cNvGraphicFramePr/>
                <a:graphic xmlns:a="http://schemas.openxmlformats.org/drawingml/2006/main">
                  <a:graphicData uri="http://schemas.microsoft.com/office/word/2010/wordprocessingGroup">
                    <wpg:wgp>
                      <wpg:cNvGrpSpPr/>
                      <wpg:grpSpPr>
                        <a:xfrm>
                          <a:off x="0" y="0"/>
                          <a:ext cx="800100" cy="438150"/>
                          <a:chOff x="0" y="0"/>
                          <a:chExt cx="1" cy="0"/>
                        </a:xfrm>
                      </wpg:grpSpPr>
                      <pic:pic xmlns:pic="http://schemas.openxmlformats.org/drawingml/2006/picture">
                        <pic:nvPicPr>
                          <pic:cNvPr id="14" name="图片 14"/>
                          <pic:cNvPicPr>
                            <a:picLocks noChangeAspect="1"/>
                          </pic:cNvPicPr>
                        </pic:nvPicPr>
                        <pic:blipFill>
                          <a:blip r:embed="rId10"/>
                          <a:srcRect l="84859" t="41454"/>
                          <a:stretch>
                            <a:fillRect/>
                          </a:stretch>
                        </pic:blipFill>
                        <pic:spPr>
                          <a:xfrm>
                            <a:off x="0" y="0"/>
                            <a:ext cx="1" cy="0"/>
                          </a:xfrm>
                          <a:prstGeom prst="rect">
                            <a:avLst/>
                          </a:prstGeom>
                          <a:noFill/>
                          <a:ln>
                            <a:noFill/>
                          </a:ln>
                        </pic:spPr>
                      </pic:pic>
                      <pic:pic xmlns:pic="http://schemas.openxmlformats.org/drawingml/2006/picture">
                        <pic:nvPicPr>
                          <pic:cNvPr id="15" name="图片 15"/>
                          <pic:cNvPicPr>
                            <a:picLocks noChangeAspect="1"/>
                          </pic:cNvPicPr>
                        </pic:nvPicPr>
                        <pic:blipFill>
                          <a:blip r:embed="rId11"/>
                          <a:stretch>
                            <a:fillRect/>
                          </a:stretch>
                        </pic:blipFill>
                        <pic:spPr>
                          <a:xfrm>
                            <a:off x="0" y="0"/>
                            <a:ext cx="1" cy="0"/>
                          </a:xfrm>
                          <a:prstGeom prst="rect">
                            <a:avLst/>
                          </a:prstGeom>
                          <a:noFill/>
                          <a:ln>
                            <a:noFill/>
                          </a:ln>
                        </pic:spPr>
                      </pic:pic>
                    </wpg:wgp>
                  </a:graphicData>
                </a:graphic>
              </wp:anchor>
            </w:drawing>
          </mc:Choice>
          <mc:Fallback>
            <w:pict>
              <v:group id="_x0000_s1026" o:spid="_x0000_s1026" o:spt="203" style="position:absolute;left:0pt;margin-left:357.85pt;margin-top:6.1pt;height:34.5pt;width:63pt;mso-wrap-distance-left:9pt;mso-wrap-distance-right:9pt;z-index:-251657216;mso-width-relative:page;mso-height-relative:page;" coordsize="1,0" wrapcoords="0 0 0 21600 21600 21600 21600 0"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">
                <o:lock v:ext="edit" aspectratio="f"/>
                <v:shape id="_x0000_s1026" o:spid="_x0000_s1026" o:spt="75" type="#_x0000_t75" style="position:absolute;left:0;top:0;height:0;width:1;" filled="f" o:preferrelative="t" stroked="f" coordsize="21600,21600" o:gfxdata="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k8SULsAAADb&#10;AAAADwAAAAAAAAABACAAAAAiAAAAZHJzL2Rvd25yZXYueG1sUEsBAhQAFAAAAAgAh07iQDMvBZ47&#10;AAAAOQAAABAAAAAAAAAAAQAgAAAACgEAAGRycy9zaGFwZXhtbC54bWxQSwUGAAAAAAYABgBbAQAA&#10;tAMAAAAA&#10;">
                  <v:fill on="f" focussize="0,0"/>
                  <v:stroke on="f"/>
                  <v:imagedata r:id="rId10" cropleft="55613f" croptop="27167f" o:title=""/>
                  <o:lock v:ext="edit" aspectratio="t"/>
                </v:shape>
                <v:shape id="_x0000_s1026" o:spid="_x0000_s1026" o:spt="75" type="#_x0000_t75" style="position:absolute;left:0;top:0;height:0;width:1;" filled="f" o:preferrelative="t" stroked="f" coordsize="21600,21600" o:gfxdata="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QnLsAAADb&#10;AAAADwAAAAAAAAABACAAAAAiAAAAZHJzL2Rvd25yZXYueG1sUEsBAhQAFAAAAAgAh07iQDMvBZ47&#10;AAAAOQAAABAAAAAAAAAAAQAgAAAACgEAAGRycy9zaGFwZXhtbC54bWxQSwUGAAAAAAYABgBbAQAA&#10;tAMAAAAA&#10;">
                  <v:fill on="f" focussize="0,0"/>
                  <v:stroke on="f"/>
                  <v:imagedata r:id="rId11" o:title=""/>
                  <o:lock v:ext="edit" aspectratio="t"/>
                </v:shape>
                <w10:wrap type="tight"/>
              </v:group>
            </w:pict>
          </mc:Fallback>
        </mc:AlternateContent>
      </w:r>
      <w:r>
        <w:rPr>
          <w:rFonts w:ascii="Times New Roman" w:hAnsi="Times New Roman" w:cs="Times New Roman"/>
          <w:b/>
          <w:bCs/>
          <w:sz w:val="24"/>
          <w:szCs w:val="32"/>
        </w:rPr>
        <w:t>Opinion</w:t>
      </w:r>
    </w:p>
    <w:p w14:paraId="2275CE37">
      <w:pPr>
        <w:adjustRightInd w:val="0"/>
        <w:snapToGrid w:val="0"/>
        <w:spacing w:before="312" w:beforeLines="100"/>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1C74D732">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49704A04">
      <w:pPr>
        <w:adjustRightInd w:val="0"/>
        <w:snapToGrid w:val="0"/>
        <w:spacing w:line="260" w:lineRule="atLeast"/>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73D465C6">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ascii="Times New Roman" w:hAnsi="Times New Roman" w:eastAsia="宋体" w:cs="Times New Roman"/>
          <w:b/>
          <w:bCs/>
          <w:color w:val="000000"/>
          <w:kern w:val="0"/>
          <w:sz w:val="20"/>
          <w:szCs w:val="20"/>
        </w:rPr>
        <w:t>Forename 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3</w:t>
      </w:r>
    </w:p>
    <w:p w14:paraId="36515378">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68FBE3D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2612A6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4A506E5">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18"/>
          <w:szCs w:val="18"/>
        </w:rPr>
        <w:t>xxxx@xxxx.xxx</w:t>
      </w:r>
      <w:r>
        <w:rPr>
          <w:rStyle w:val="17"/>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4A061F43">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7EA1D49">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w:t>
      </w:r>
      <w:r>
        <w:rPr>
          <w:rFonts w:hint="eastAsia" w:ascii="Times New Roman" w:hAnsi="Times New Roman" w:eastAsia="宋体" w:cs="Times New Roman"/>
          <w:iCs/>
          <w:color w:val="808080" w:themeColor="background1" w:themeShade="80"/>
          <w:kern w:val="0"/>
          <w:sz w:val="18"/>
          <w:szCs w:val="18"/>
        </w:rPr>
        <w:t>5</w:t>
      </w:r>
      <w:r>
        <w:rPr>
          <w:rFonts w:ascii="Times New Roman" w:hAnsi="Times New Roman" w:eastAsia="宋体" w:cs="Times New Roman"/>
          <w:color w:val="808080" w:themeColor="background1" w:themeShade="80"/>
          <w:kern w:val="0"/>
          <w:sz w:val="18"/>
          <w:szCs w:val="18"/>
        </w:rPr>
        <w:t>]</w:t>
      </w:r>
    </w:p>
    <w:p w14:paraId="1B727275">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09DAC6D">
      <w:pPr>
        <w:pStyle w:val="38"/>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opinion: Abstract, Keywords, Introduction, Main Text, Conclusions, Declarations and References. Please note that each part has a corresponding style, which authors should follow. </w:t>
      </w:r>
      <w:r>
        <w:rPr>
          <w:rFonts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 xml:space="preserve">ote that the fonts in gray show writing requirements. For any questions, you may contact the </w:t>
      </w:r>
      <w:r>
        <w:rPr>
          <w:rFonts w:ascii="Times New Roman" w:hAnsi="Times New Roman"/>
          <w:b/>
          <w:bCs/>
          <w:i/>
          <w:color w:val="7F7F7F" w:themeColor="background1" w:themeShade="80"/>
          <w:sz w:val="18"/>
          <w:szCs w:val="18"/>
          <w:u w:val="none"/>
        </w:rPr>
        <w:fldChar w:fldCharType="begin"/>
      </w:r>
      <w:r>
        <w:rPr>
          <w:rFonts w:ascii="Times New Roman" w:hAnsi="Times New Roman"/>
          <w:b/>
          <w:bCs/>
          <w:i/>
          <w:color w:val="7F7F7F" w:themeColor="background1" w:themeShade="80"/>
          <w:sz w:val="18"/>
          <w:szCs w:val="18"/>
          <w:u w:val="none"/>
        </w:rPr>
        <w:instrText xml:space="preserve"> HYPERLINK "mailto:editorialoffice@aecjournal.com" </w:instrText>
      </w:r>
      <w:r>
        <w:rPr>
          <w:rFonts w:ascii="Times New Roman" w:hAnsi="Times New Roman"/>
          <w:b/>
          <w:bCs/>
          <w:i/>
          <w:color w:val="7F7F7F" w:themeColor="background1" w:themeShade="80"/>
          <w:sz w:val="18"/>
          <w:szCs w:val="18"/>
          <w:u w:val="none"/>
        </w:rPr>
        <w:fldChar w:fldCharType="separate"/>
      </w:r>
      <w:r>
        <w:rPr>
          <w:rStyle w:val="17"/>
          <w:rFonts w:ascii="Times New Roman" w:hAnsi="Times New Roman"/>
          <w:b/>
          <w:bCs/>
          <w:i/>
          <w:sz w:val="18"/>
          <w:szCs w:val="18"/>
        </w:rPr>
        <w:t>editorial office</w:t>
      </w:r>
      <w:r>
        <w:rPr>
          <w:rFonts w:ascii="Times New Roman" w:hAnsi="Times New Roman"/>
          <w:b/>
          <w:bCs/>
          <w:i/>
          <w:color w:val="7F7F7F" w:themeColor="background1" w:themeShade="80"/>
          <w:sz w:val="18"/>
          <w:szCs w:val="18"/>
          <w:u w:val="none"/>
        </w:rPr>
        <w:fldChar w:fldCharType="end"/>
      </w:r>
      <w:r>
        <w:rPr>
          <w:rFonts w:ascii="Times New Roman" w:hAnsi="Times New Roman"/>
          <w:b/>
          <w:bCs/>
          <w:i/>
          <w:color w:val="808080" w:themeColor="background1" w:themeShade="80"/>
          <w:sz w:val="18"/>
          <w:szCs w:val="18"/>
        </w:rPr>
        <w:t>.</w:t>
      </w:r>
    </w:p>
    <w:p w14:paraId="0BEC94BD">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E12C08C">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14:paraId="007182F2">
      <w:pPr>
        <w:adjustRightInd w:val="0"/>
        <w:snapToGrid w:val="0"/>
        <w:spacing w:before="156" w:beforeLines="50" w:line="260" w:lineRule="atLeast"/>
        <w:rPr>
          <w:rFonts w:ascii="Times New Roman" w:hAnsi="Times New Roman" w:eastAsia="宋体" w:cs="Times New Roman"/>
          <w:iCs/>
          <w:sz w:val="20"/>
          <w:szCs w:val="20"/>
        </w:rPr>
      </w:pPr>
      <w:r>
        <w:rPr>
          <w:rFonts w:ascii="Times New Roman" w:hAnsi="Times New Roman" w:eastAsia="宋体" w:cs="Times New Roman"/>
          <w:iCs/>
          <w:sz w:val="20"/>
          <w:szCs w:val="20"/>
        </w:rPr>
        <w:t xml:space="preserve">Abstract is a brief summary of an article, which helps the readers quickly ascertain the paper’s main content. In this part, authors may mention writing purpose, the research progress of specific topic(s) and authors’ opinions, </w:t>
      </w:r>
      <w:r>
        <w:rPr>
          <w:rFonts w:ascii="Times New Roman" w:hAnsi="Times New Roman" w:eastAsia="宋体" w:cs="Times New Roman"/>
          <w:i/>
          <w:sz w:val="20"/>
          <w:szCs w:val="20"/>
        </w:rPr>
        <w:t>etc</w:t>
      </w:r>
      <w:r>
        <w:rPr>
          <w:rFonts w:ascii="Times New Roman" w:hAnsi="Times New Roman" w:eastAsia="宋体" w:cs="Times New Roman"/>
          <w:iCs/>
          <w:sz w:val="20"/>
          <w:szCs w:val="20"/>
        </w:rPr>
        <w:t xml:space="preserve">. </w:t>
      </w:r>
    </w:p>
    <w:p w14:paraId="1DB9275A">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Chemical compounds, natural products, polymers, catalysis, high performance liquid chromatography</w:t>
      </w:r>
    </w:p>
    <w:p w14:paraId="63276C54">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7A73C68A">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4694939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writing purpose/background of the manuscript, overviews or summarizes previous findings and progress related to this study, and indicates authors’ opinions on the specific topic(s). It is generally followed by the body and conclusions.</w:t>
      </w:r>
    </w:p>
    <w:p w14:paraId="4CEE1032">
      <w:pPr>
        <w:adjustRightInd w:val="0"/>
        <w:snapToGrid w:val="0"/>
        <w:spacing w:before="312" w:beforeLines="100" w:line="260" w:lineRule="atLeas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3F024EE">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0EC5A55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authors should describe the main text of the opinion in detail. It may contain authors’ detailed opinions on the methods applied to specific experiments, analysis on research findings or interpretation of a concept in a study, comment on advantages/disadvantages of a theory/hypothesis, </w:t>
      </w:r>
      <w:r>
        <w:rPr>
          <w:rFonts w:ascii="Times New Roman" w:hAnsi="Times New Roman" w:cs="Times New Roman"/>
          <w:i/>
          <w:iCs/>
          <w:sz w:val="20"/>
          <w:szCs w:val="20"/>
        </w:rPr>
        <w:t>etc</w:t>
      </w:r>
      <w:r>
        <w:rPr>
          <w:rFonts w:ascii="Times New Roman" w:hAnsi="Times New Roman" w:cs="Times New Roman"/>
          <w:sz w:val="20"/>
          <w:szCs w:val="20"/>
        </w:rPr>
        <w:t xml:space="preserve">. Evidences that support the opinions should be given in this part. If necessary, we suggest that authors may set headings (level 1 heading, level 2 heading, level 3 heading, </w:t>
      </w:r>
      <w:r>
        <w:rPr>
          <w:rFonts w:ascii="Times New Roman" w:hAnsi="Times New Roman" w:cs="Times New Roman"/>
          <w:i/>
          <w:iCs/>
          <w:sz w:val="20"/>
          <w:szCs w:val="20"/>
        </w:rPr>
        <w:t>etc.</w:t>
      </w:r>
      <w:r>
        <w:rPr>
          <w:rFonts w:ascii="Times New Roman" w:hAnsi="Times New Roman" w:cs="Times New Roman"/>
          <w:sz w:val="20"/>
          <w:szCs w:val="20"/>
        </w:rPr>
        <w:t>) to separate different cases or situations.</w:t>
      </w:r>
    </w:p>
    <w:p w14:paraId="4F64BD2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66B8F34E">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605AE062">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95F02C5">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materials and chemicals used, including generic name(s), dose(s), and route(s) of administration, should be identified precisely.</w:t>
      </w:r>
    </w:p>
    <w:p w14:paraId="6CF9FA0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[other forms: Equations (2) and (3); Equations (4-6)]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0"/>
          <w:szCs w:val="20"/>
        </w:rPr>
        <w:t>Supplementary Table 1</w:t>
      </w:r>
      <w:r>
        <w:rPr>
          <w:rFonts w:ascii="Times New Roman" w:hAnsi="Times New Roman" w:cs="Times New Roman"/>
          <w:sz w:val="20"/>
          <w:szCs w:val="20"/>
        </w:rPr>
        <w:t xml:space="preserve">, </w:t>
      </w:r>
      <w:r>
        <w:rPr>
          <w:rFonts w:ascii="Times New Roman" w:hAnsi="Times New Roman" w:cs="Times New Roman"/>
          <w:b/>
          <w:bCs/>
          <w:sz w:val="20"/>
          <w:szCs w:val="20"/>
        </w:rPr>
        <w:t>Supplementary Equation (1)</w:t>
      </w:r>
      <w:r>
        <w:rPr>
          <w:rFonts w:ascii="Times New Roman" w:hAnsi="Times New Roman" w:cs="Times New Roman"/>
          <w:sz w:val="20"/>
          <w:szCs w:val="20"/>
        </w:rPr>
        <w:t xml:space="preserve"> and </w:t>
      </w:r>
      <w:r>
        <w:rPr>
          <w:rFonts w:ascii="Times New Roman" w:hAnsi="Times New Roman" w:cs="Times New Roman"/>
          <w:b/>
          <w:bCs/>
          <w:sz w:val="20"/>
          <w:szCs w:val="20"/>
        </w:rPr>
        <w:t>Supplementary Figure 1</w:t>
      </w:r>
      <w:r>
        <w:rPr>
          <w:rFonts w:ascii="Times New Roman" w:hAnsi="Times New Roman" w:cs="Times New Roman"/>
          <w:sz w:val="20"/>
          <w:szCs w:val="20"/>
        </w:rPr>
        <w:t xml:space="preserve">. For details, you may refer to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"https://oaepublish.com/files/tpl/aec/Template_for_Supplementary_Material_aec.docx" </w:instrText>
      </w:r>
      <w:r>
        <w:rPr>
          <w:rFonts w:ascii="Times New Roman" w:hAnsi="Times New Roman" w:cs="Times New Roman"/>
          <w:b/>
          <w:bCs/>
          <w:color w:val="auto"/>
          <w:sz w:val="20"/>
          <w:szCs w:val="20"/>
          <w:u w:val="none"/>
        </w:rPr>
        <w:fldChar w:fldCharType="separate"/>
      </w:r>
      <w:r>
        <w:rPr>
          <w:rStyle w:val="17"/>
          <w:rFonts w:ascii="Times New Roman" w:hAnsi="Times New Roman" w:cs="Times New Roman"/>
          <w:b/>
          <w:bCs/>
          <w:sz w:val="20"/>
          <w:szCs w:val="20"/>
        </w:rPr>
        <w:t>Supplementary Material Template</w:t>
      </w:r>
      <w:r>
        <w:rPr>
          <w:rFonts w:ascii="Times New Roman" w:hAnsi="Times New Roman" w:cs="Times New Roman"/>
          <w:b/>
          <w:bCs/>
          <w:color w:val="auto"/>
          <w:sz w:val="20"/>
          <w:szCs w:val="20"/>
          <w:u w:val="none"/>
        </w:rPr>
        <w:fldChar w:fldCharType="end"/>
      </w:r>
      <w:bookmarkStart w:id="8" w:name="_GoBack"/>
      <w:bookmarkEnd w:id="8"/>
      <w:r>
        <w:rPr>
          <w:rFonts w:ascii="Times New Roman" w:hAnsi="Times New Roman" w:cs="Times New Roman"/>
          <w:sz w:val="20"/>
          <w:szCs w:val="20"/>
        </w:rPr>
        <w:t>.</w:t>
      </w:r>
    </w:p>
    <w:p w14:paraId="4CF912A4">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A4CF76C">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5BC958B">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6EC1CEE2">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 xml:space="preserve">Table 1.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99756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1C2AA8B1">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B965A0E">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napToGrid w:val="0"/>
                <w:sz w:val="18"/>
                <w:szCs w:val="18"/>
                <w:lang w:val="de-DE" w:eastAsia="zh-CN"/>
              </w:rPr>
            </w:pPr>
            <w:r>
              <w:rPr>
                <w:rFonts w:ascii="Times New Roman" w:hAnsi="Times New Roman" w:eastAsia="宋体" w:cs="Times New Roman"/>
                <w:b/>
                <w:i w:val="0"/>
                <w:snapToGrid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2099710">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napToGrid w:val="0"/>
                <w:sz w:val="18"/>
                <w:szCs w:val="18"/>
                <w:lang w:val="de-DE"/>
              </w:rPr>
            </w:pPr>
            <w:r>
              <w:rPr>
                <w:rFonts w:ascii="Times New Roman" w:hAnsi="Times New Roman" w:cs="Times New Roman" w:eastAsiaTheme="minorEastAsia"/>
                <w:b/>
                <w:i/>
                <w:iCs/>
                <w:snapToGrid w:val="0"/>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4F521B3">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B1A7E2F">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267A6B7">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6D73ABEB">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2-year (3-year) OS (%)</w:t>
            </w:r>
          </w:p>
        </w:tc>
      </w:tr>
      <w:tr w14:paraId="1315DEF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tcBorders>
              <w:top w:val="nil"/>
              <w:left w:val="nil"/>
              <w:bottom w:val="nil"/>
              <w:right w:val="nil"/>
            </w:tcBorders>
            <w:vAlign w:val="center"/>
          </w:tcPr>
          <w:p w14:paraId="0DE6D6E5">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Our current study</w:t>
            </w:r>
          </w:p>
        </w:tc>
        <w:tc>
          <w:tcPr>
            <w:tcW w:w="917" w:type="dxa"/>
            <w:tcBorders>
              <w:top w:val="nil"/>
              <w:left w:val="nil"/>
              <w:bottom w:val="nil"/>
              <w:right w:val="nil"/>
            </w:tcBorders>
            <w:vAlign w:val="center"/>
          </w:tcPr>
          <w:p w14:paraId="6BCEC0F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CHOP</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CVP</w:t>
            </w:r>
          </w:p>
        </w:tc>
        <w:tc>
          <w:tcPr>
            <w:tcW w:w="782" w:type="dxa"/>
            <w:tcBorders>
              <w:top w:val="nil"/>
              <w:left w:val="nil"/>
              <w:bottom w:val="nil"/>
              <w:right w:val="nil"/>
            </w:tcBorders>
            <w:vAlign w:val="center"/>
          </w:tcPr>
          <w:p w14:paraId="75CCCEC4">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251</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67</w:t>
            </w:r>
          </w:p>
        </w:tc>
        <w:tc>
          <w:tcPr>
            <w:tcW w:w="900" w:type="dxa"/>
            <w:tcBorders>
              <w:top w:val="nil"/>
              <w:left w:val="nil"/>
              <w:bottom w:val="nil"/>
              <w:right w:val="nil"/>
            </w:tcBorders>
            <w:vAlign w:val="center"/>
          </w:tcPr>
          <w:p w14:paraId="4D2520BA">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17-82</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45-87</w:t>
            </w:r>
          </w:p>
        </w:tc>
        <w:tc>
          <w:tcPr>
            <w:tcW w:w="944" w:type="dxa"/>
            <w:tcBorders>
              <w:top w:val="nil"/>
              <w:left w:val="nil"/>
              <w:bottom w:val="nil"/>
              <w:right w:val="nil"/>
            </w:tcBorders>
            <w:vAlign w:val="center"/>
          </w:tcPr>
          <w:p w14:paraId="24654C39">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69.8</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29.9</w:t>
            </w:r>
            <w:r>
              <w:rPr>
                <w:rFonts w:ascii="Times New Roman" w:hAnsi="Times New Roman" w:cs="Times New Roman" w:eastAsiaTheme="minorEastAsia"/>
                <w:sz w:val="18"/>
                <w:szCs w:val="18"/>
                <w:vertAlign w:val="superscript"/>
                <w:lang w:val="de-DE" w:eastAsia="zh-CN"/>
              </w:rPr>
              <w:t>*</w:t>
            </w:r>
          </w:p>
        </w:tc>
        <w:tc>
          <w:tcPr>
            <w:tcW w:w="1818" w:type="dxa"/>
            <w:tcBorders>
              <w:top w:val="nil"/>
              <w:left w:val="nil"/>
              <w:bottom w:val="nil"/>
              <w:right w:val="nil"/>
            </w:tcBorders>
            <w:vAlign w:val="center"/>
          </w:tcPr>
          <w:p w14:paraId="5D29F994">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55.3 (46.0)</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18.0 (12.0)</w:t>
            </w:r>
            <w:r>
              <w:rPr>
                <w:rFonts w:ascii="Times New Roman" w:hAnsi="Times New Roman" w:cs="Times New Roman" w:eastAsiaTheme="minorEastAsia"/>
                <w:sz w:val="18"/>
                <w:szCs w:val="18"/>
                <w:vertAlign w:val="superscript"/>
                <w:lang w:val="de-DE" w:eastAsia="zh-CN"/>
              </w:rPr>
              <w:t>*</w:t>
            </w:r>
          </w:p>
        </w:tc>
        <w:tc>
          <w:tcPr>
            <w:tcW w:w="1431" w:type="dxa"/>
            <w:tcBorders>
              <w:top w:val="nil"/>
              <w:left w:val="nil"/>
              <w:bottom w:val="nil"/>
              <w:right w:val="nil"/>
            </w:tcBorders>
            <w:vAlign w:val="center"/>
          </w:tcPr>
          <w:p w14:paraId="2E58788F">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58.0 (52.0)</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25.0 (19.0)</w:t>
            </w:r>
            <w:r>
              <w:rPr>
                <w:rFonts w:ascii="Times New Roman" w:hAnsi="Times New Roman" w:cs="Times New Roman" w:eastAsiaTheme="minorEastAsia"/>
                <w:sz w:val="18"/>
                <w:szCs w:val="18"/>
                <w:vertAlign w:val="superscript"/>
                <w:lang w:val="de-DE" w:eastAsia="zh-CN"/>
              </w:rPr>
              <w:t>*</w:t>
            </w:r>
          </w:p>
        </w:tc>
      </w:tr>
      <w:tr w14:paraId="1ADB12B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nil"/>
              <w:left w:val="nil"/>
              <w:bottom w:val="nil"/>
              <w:right w:val="nil"/>
            </w:tcBorders>
            <w:vAlign w:val="center"/>
          </w:tcPr>
          <w:p w14:paraId="49177B7A">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 xml:space="preserve">Khaled </w:t>
            </w:r>
            <w:r>
              <w:rPr>
                <w:rFonts w:ascii="Times New Roman" w:hAnsi="Times New Roman" w:cs="Times New Roman" w:eastAsiaTheme="minorEastAsia"/>
                <w:i/>
                <w:iCs/>
                <w:sz w:val="18"/>
                <w:szCs w:val="18"/>
                <w:lang w:val="de-DE" w:eastAsia="zh-CN"/>
              </w:rPr>
              <w:t>et al.</w:t>
            </w:r>
            <w:r>
              <w:rPr>
                <w:rFonts w:ascii="Times New Roman" w:hAnsi="Times New Roman" w:cs="Times New Roman" w:eastAsiaTheme="minorEastAsia"/>
                <w:sz w:val="18"/>
                <w:szCs w:val="18"/>
                <w:vertAlign w:val="superscript"/>
                <w:lang w:val="de-DE" w:eastAsia="zh-CN"/>
              </w:rPr>
              <w:t>[1]</w:t>
            </w:r>
          </w:p>
        </w:tc>
        <w:tc>
          <w:tcPr>
            <w:tcW w:w="917" w:type="dxa"/>
            <w:tcBorders>
              <w:top w:val="nil"/>
              <w:left w:val="nil"/>
              <w:bottom w:val="nil"/>
              <w:right w:val="nil"/>
            </w:tcBorders>
            <w:vAlign w:val="center"/>
          </w:tcPr>
          <w:p w14:paraId="24E8D7AE">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CHOP</w:t>
            </w:r>
          </w:p>
        </w:tc>
        <w:tc>
          <w:tcPr>
            <w:tcW w:w="782" w:type="dxa"/>
            <w:tcBorders>
              <w:top w:val="nil"/>
              <w:left w:val="nil"/>
              <w:bottom w:val="nil"/>
              <w:right w:val="nil"/>
            </w:tcBorders>
            <w:vAlign w:val="center"/>
          </w:tcPr>
          <w:p w14:paraId="13A6F85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40</w:t>
            </w:r>
          </w:p>
        </w:tc>
        <w:tc>
          <w:tcPr>
            <w:tcW w:w="900" w:type="dxa"/>
            <w:tcBorders>
              <w:top w:val="nil"/>
              <w:left w:val="nil"/>
              <w:bottom w:val="nil"/>
              <w:right w:val="nil"/>
            </w:tcBorders>
            <w:vAlign w:val="center"/>
          </w:tcPr>
          <w:p w14:paraId="0791078F">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19-75</w:t>
            </w:r>
          </w:p>
        </w:tc>
        <w:tc>
          <w:tcPr>
            <w:tcW w:w="944" w:type="dxa"/>
            <w:tcBorders>
              <w:top w:val="nil"/>
              <w:left w:val="nil"/>
              <w:bottom w:val="nil"/>
              <w:right w:val="nil"/>
            </w:tcBorders>
            <w:vAlign w:val="center"/>
          </w:tcPr>
          <w:p w14:paraId="61DB9B0A">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67</w:t>
            </w:r>
          </w:p>
        </w:tc>
        <w:tc>
          <w:tcPr>
            <w:tcW w:w="1818" w:type="dxa"/>
            <w:tcBorders>
              <w:top w:val="nil"/>
              <w:left w:val="nil"/>
              <w:bottom w:val="nil"/>
              <w:right w:val="nil"/>
            </w:tcBorders>
            <w:vAlign w:val="center"/>
          </w:tcPr>
          <w:p w14:paraId="40D7C146">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54 (54)</w:t>
            </w:r>
          </w:p>
        </w:tc>
        <w:tc>
          <w:tcPr>
            <w:tcW w:w="1431" w:type="dxa"/>
            <w:tcBorders>
              <w:top w:val="nil"/>
              <w:left w:val="nil"/>
              <w:bottom w:val="nil"/>
              <w:right w:val="nil"/>
            </w:tcBorders>
            <w:vAlign w:val="center"/>
          </w:tcPr>
          <w:p w14:paraId="301E70D3">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82 (71)</w:t>
            </w:r>
          </w:p>
        </w:tc>
      </w:tr>
      <w:tr w14:paraId="603E547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nil"/>
              <w:left w:val="nil"/>
              <w:bottom w:val="single" w:color="auto" w:sz="8" w:space="0"/>
              <w:right w:val="nil"/>
            </w:tcBorders>
            <w:vAlign w:val="center"/>
          </w:tcPr>
          <w:p w14:paraId="6168C114">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 xml:space="preserve">Burton </w:t>
            </w:r>
            <w:r>
              <w:rPr>
                <w:rFonts w:ascii="Times New Roman" w:hAnsi="Times New Roman" w:cs="Times New Roman" w:eastAsiaTheme="minorEastAsia"/>
                <w:i/>
                <w:iCs/>
                <w:sz w:val="18"/>
                <w:szCs w:val="18"/>
                <w:lang w:val="de-DE" w:eastAsia="zh-CN"/>
              </w:rPr>
              <w:t>et al.</w:t>
            </w:r>
            <w:r>
              <w:rPr>
                <w:rFonts w:ascii="Times New Roman" w:hAnsi="Times New Roman" w:cs="Times New Roman" w:eastAsiaTheme="minorEastAsia"/>
                <w:sz w:val="18"/>
                <w:szCs w:val="18"/>
                <w:vertAlign w:val="superscript"/>
                <w:lang w:val="de-DE" w:eastAsia="zh-CN"/>
              </w:rPr>
              <w:t>[2]</w:t>
            </w:r>
          </w:p>
        </w:tc>
        <w:tc>
          <w:tcPr>
            <w:tcW w:w="917" w:type="dxa"/>
            <w:tcBorders>
              <w:top w:val="nil"/>
              <w:left w:val="nil"/>
              <w:bottom w:val="single" w:color="auto" w:sz="8" w:space="0"/>
              <w:right w:val="nil"/>
            </w:tcBorders>
            <w:vAlign w:val="center"/>
          </w:tcPr>
          <w:p w14:paraId="0AC3FFA0">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eastAsia="宋体" w:cs="Times New Roman"/>
                <w:sz w:val="18"/>
                <w:szCs w:val="18"/>
                <w:lang w:val="de-DE" w:eastAsia="zh-CN"/>
              </w:rPr>
              <w:t>CHOP</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CIOP</w:t>
            </w:r>
          </w:p>
        </w:tc>
        <w:tc>
          <w:tcPr>
            <w:tcW w:w="782" w:type="dxa"/>
            <w:tcBorders>
              <w:top w:val="nil"/>
              <w:left w:val="nil"/>
              <w:bottom w:val="single" w:color="auto" w:sz="8" w:space="0"/>
              <w:right w:val="nil"/>
            </w:tcBorders>
            <w:vAlign w:val="center"/>
          </w:tcPr>
          <w:p w14:paraId="1C324B0F">
            <w:pPr>
              <w:pStyle w:val="37"/>
              <w:spacing w:line="360" w:lineRule="auto"/>
              <w:jc w:val="left"/>
              <w:rPr>
                <w:rFonts w:ascii="Times New Roman" w:hAnsi="Times New Roman" w:eastAsia="宋体" w:cs="Times New Roman"/>
                <w:sz w:val="18"/>
                <w:szCs w:val="18"/>
                <w:lang w:val="de-DE"/>
              </w:rPr>
            </w:pPr>
            <w:r>
              <w:rPr>
                <w:rFonts w:ascii="Times New Roman" w:hAnsi="Times New Roman" w:cs="Times New Roman" w:eastAsiaTheme="minorEastAsia"/>
                <w:sz w:val="18"/>
                <w:szCs w:val="18"/>
                <w:lang w:val="de-DE" w:eastAsia="zh-CN"/>
              </w:rPr>
              <w:t>105</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106</w:t>
            </w:r>
          </w:p>
        </w:tc>
        <w:tc>
          <w:tcPr>
            <w:tcW w:w="900" w:type="dxa"/>
            <w:tcBorders>
              <w:top w:val="nil"/>
              <w:left w:val="nil"/>
              <w:bottom w:val="single" w:color="auto" w:sz="8" w:space="0"/>
              <w:right w:val="nil"/>
            </w:tcBorders>
            <w:vAlign w:val="center"/>
          </w:tcPr>
          <w:p w14:paraId="50763F30">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22-66</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25-67</w:t>
            </w:r>
          </w:p>
        </w:tc>
        <w:tc>
          <w:tcPr>
            <w:tcW w:w="944" w:type="dxa"/>
            <w:tcBorders>
              <w:top w:val="nil"/>
              <w:left w:val="nil"/>
              <w:bottom w:val="single" w:color="auto" w:sz="8" w:space="0"/>
              <w:right w:val="nil"/>
            </w:tcBorders>
            <w:vAlign w:val="center"/>
          </w:tcPr>
          <w:p w14:paraId="6362EBE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70</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52</w:t>
            </w:r>
          </w:p>
        </w:tc>
        <w:tc>
          <w:tcPr>
            <w:tcW w:w="1818" w:type="dxa"/>
            <w:tcBorders>
              <w:top w:val="nil"/>
              <w:left w:val="nil"/>
              <w:bottom w:val="single" w:color="auto" w:sz="8" w:space="0"/>
              <w:right w:val="nil"/>
            </w:tcBorders>
            <w:vAlign w:val="center"/>
          </w:tcPr>
          <w:p w14:paraId="64FFEF9A">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4-year PFS: 56</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4-year PFS: 40</w:t>
            </w:r>
            <w:r>
              <w:rPr>
                <w:rFonts w:ascii="Times New Roman" w:hAnsi="Times New Roman" w:cs="Times New Roman" w:eastAsiaTheme="minorEastAsia"/>
                <w:sz w:val="18"/>
                <w:szCs w:val="18"/>
                <w:vertAlign w:val="superscript"/>
                <w:lang w:val="de-DE" w:eastAsia="zh-CN"/>
              </w:rPr>
              <w:t>*</w:t>
            </w:r>
          </w:p>
        </w:tc>
        <w:tc>
          <w:tcPr>
            <w:tcW w:w="1431" w:type="dxa"/>
            <w:tcBorders>
              <w:top w:val="nil"/>
              <w:left w:val="nil"/>
              <w:bottom w:val="single" w:color="auto" w:sz="8" w:space="0"/>
              <w:right w:val="nil"/>
            </w:tcBorders>
            <w:vAlign w:val="center"/>
          </w:tcPr>
          <w:p w14:paraId="4997D11E">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4-year OS: 65</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4-year OS: 56</w:t>
            </w:r>
            <w:r>
              <w:rPr>
                <w:rFonts w:ascii="Times New Roman" w:hAnsi="Times New Roman" w:cs="Times New Roman" w:eastAsiaTheme="minorEastAsia"/>
                <w:sz w:val="18"/>
                <w:szCs w:val="18"/>
                <w:vertAlign w:val="superscript"/>
                <w:lang w:val="de-DE" w:eastAsia="zh-CN"/>
              </w:rPr>
              <w:t>#</w:t>
            </w:r>
          </w:p>
        </w:tc>
      </w:tr>
    </w:tbl>
    <w:p w14:paraId="523C7BDB">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 EFS: event-free survival; </w:t>
      </w:r>
      <w:r>
        <w:rPr>
          <w:rFonts w:ascii="Times New Roman" w:hAnsi="Times New Roman" w:eastAsia="宋体" w:cs="Times New Roman"/>
          <w:color w:val="000000"/>
          <w:kern w:val="0"/>
          <w:sz w:val="16"/>
          <w:szCs w:val="16"/>
        </w:rPr>
        <w:t xml:space="preserve">PFS: progression-free survival; </w:t>
      </w:r>
      <w:r>
        <w:rPr>
          <w:rFonts w:ascii="Times New Roman" w:hAnsi="Times New Roman" w:eastAsia="宋体" w:cs="Times New Roman"/>
          <w:bCs/>
          <w:color w:val="000000"/>
          <w:kern w:val="0"/>
          <w:sz w:val="16"/>
          <w:szCs w:val="16"/>
        </w:rPr>
        <w:t xml:space="preserve">OS: overall survival; </w:t>
      </w:r>
      <w:r>
        <w:rPr>
          <w:rFonts w:ascii="Times New Roman" w:hAnsi="Times New Roman" w:eastAsia="宋体" w:cs="Times New Roman"/>
          <w:color w:val="000000"/>
          <w:kern w:val="0"/>
          <w:sz w:val="16"/>
          <w:szCs w:val="16"/>
        </w:rPr>
        <w:t xml:space="preserve">CHOP: 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756853BA">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E60F83D">
      <w:pPr>
        <w:widowControl/>
        <w:numPr>
          <w:ilvl w:val="0"/>
          <w:numId w:val="3"/>
        </w:numPr>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292004C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4C63AD6B">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2700B00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06D9AF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7DEC5D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68583685">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15"/>
        <w:gridCol w:w="435"/>
      </w:tblGrid>
      <w:tr w14:paraId="20522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B308AB9">
            <w:pPr>
              <w:pStyle w:val="40"/>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2pt;width:77.2pt;" o:ole="t" filled="f" coordsize="21600,21600">
                  <v:path/>
                  <v:fill on="f" focussize="0,0"/>
                  <v:stroke/>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30469F18">
            <w:pPr>
              <w:pStyle w:val="39"/>
              <w:jc w:val="center"/>
              <w:rPr>
                <w:rFonts w:ascii="Times New Roman" w:hAnsi="Times New Roman"/>
              </w:rPr>
            </w:pPr>
            <w:r>
              <w:rPr>
                <w:rFonts w:ascii="Times New Roman" w:hAnsi="Times New Roman"/>
              </w:rPr>
              <w:t>(1)</w:t>
            </w:r>
          </w:p>
        </w:tc>
      </w:tr>
    </w:tbl>
    <w:p w14:paraId="0A5F5D56">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078C596D">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tbl>
      <w:tblPr>
        <w:tblStyle w:val="11"/>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5"/>
        <w:gridCol w:w="4425"/>
      </w:tblGrid>
      <w:tr w14:paraId="761D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E4F7261">
            <w:pPr>
              <w:pStyle w:val="36"/>
              <w:adjustRightInd w:val="0"/>
              <w:rPr>
                <w:rFonts w:ascii="Times New Roman" w:hAnsi="Times New Roman" w:cs="Times New Roman"/>
              </w:rPr>
            </w:pPr>
            <w:r>
              <w:rPr>
                <w:rFonts w:ascii="Times New Roman" w:hAnsi="Times New Roman" w:cs="Times New Roman"/>
                <w:lang w:eastAsia="zh-CN" w:bidi="ar-SA"/>
              </w:rPr>
              <w:drawing>
                <wp:inline distT="0" distB="0" distL="0" distR="0">
                  <wp:extent cx="2590800" cy="14160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90800" cy="1416050"/>
                          </a:xfrm>
                          <a:prstGeom prst="rect">
                            <a:avLst/>
                          </a:prstGeom>
                          <a:noFill/>
                          <a:ln>
                            <a:noFill/>
                          </a:ln>
                        </pic:spPr>
                      </pic:pic>
                    </a:graphicData>
                  </a:graphic>
                </wp:inline>
              </w:drawing>
            </w:r>
          </w:p>
          <w:p w14:paraId="38E3CD87">
            <w:pPr>
              <w:pStyle w:val="36"/>
              <w:adjustRightIn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1650892A">
            <w:pPr>
              <w:pStyle w:val="36"/>
              <w:adjustRightInd w:val="0"/>
              <w:rPr>
                <w:rFonts w:ascii="Times New Roman" w:hAnsi="Times New Roman" w:eastAsia="宋体" w:cs="Times New Roman"/>
                <w:lang w:eastAsia="zh-CN"/>
              </w:rPr>
            </w:pPr>
            <w:r>
              <w:rPr>
                <w:rFonts w:ascii="Times New Roman" w:hAnsi="Times New Roman" w:eastAsia="宋体" w:cs="Times New Roman"/>
                <w:lang w:eastAsia="zh-CN" w:bidi="ar-SA"/>
              </w:rPr>
              <w:drawing>
                <wp:inline distT="0" distB="0" distL="0" distR="0">
                  <wp:extent cx="2546350" cy="1441450"/>
                  <wp:effectExtent l="0" t="0" r="6350" b="6350"/>
                  <wp:docPr id="8" name="图片 8"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二"/>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6350" cy="1441450"/>
                          </a:xfrm>
                          <a:prstGeom prst="rect">
                            <a:avLst/>
                          </a:prstGeom>
                          <a:noFill/>
                          <a:ln>
                            <a:noFill/>
                          </a:ln>
                        </pic:spPr>
                      </pic:pic>
                    </a:graphicData>
                  </a:graphic>
                </wp:inline>
              </w:drawing>
            </w:r>
          </w:p>
          <w:p w14:paraId="2AAAD0EC">
            <w:pPr>
              <w:pStyle w:val="36"/>
              <w:adjustRightIn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2E95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6E16D43D">
            <w:pPr>
              <w:pStyle w:val="36"/>
              <w:adjustRightIn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0" distR="0">
                  <wp:extent cx="3136900" cy="1651000"/>
                  <wp:effectExtent l="0" t="0" r="635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136900" cy="1651000"/>
                          </a:xfrm>
                          <a:prstGeom prst="rect">
                            <a:avLst/>
                          </a:prstGeom>
                          <a:noFill/>
                          <a:ln>
                            <a:noFill/>
                          </a:ln>
                        </pic:spPr>
                      </pic:pic>
                    </a:graphicData>
                  </a:graphic>
                </wp:inline>
              </w:drawing>
            </w:r>
          </w:p>
          <w:p w14:paraId="7CD91208">
            <w:pPr>
              <w:pStyle w:val="36"/>
              <w:adjustRightIn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3F90836C">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260E9AC1">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953B3C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B23E48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6B03F59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11F0E80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2018C3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706DCF2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3FB0366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6624BCC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Arial" w:hAnsi="Arial" w:cs="Arial"/>
          <w:color w:val="000000"/>
          <w:sz w:val="18"/>
          <w:szCs w:val="18"/>
        </w:rPr>
        <w:t xml:space="preserve"> </w:t>
      </w:r>
    </w:p>
    <w:p w14:paraId="2A6BF01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9E5B616">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w:t>
      </w:r>
    </w:p>
    <w:p w14:paraId="4C8731C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part, authors should summarize the main opinions of the manuscript. </w:t>
      </w:r>
      <w:bookmarkStart w:id="0" w:name="OLE_LINK2"/>
      <w:r>
        <w:rPr>
          <w:rFonts w:ascii="Times New Roman" w:hAnsi="Times New Roman" w:cs="Times New Roman"/>
          <w:sz w:val="20"/>
          <w:szCs w:val="20"/>
        </w:rPr>
        <w:t>An attractive and interesting conclusion is always welcome.</w:t>
      </w:r>
      <w:bookmarkEnd w:id="0"/>
    </w:p>
    <w:p w14:paraId="798D5337">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DBE607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1" w:name="OLE_LINK15"/>
      <w:r>
        <w:rPr>
          <w:rFonts w:ascii="Times New Roman" w:hAnsi="Times New Roman" w:cs="Times New Roman"/>
          <w:b/>
          <w:bCs/>
          <w:i/>
          <w:iCs/>
          <w:color w:val="808080" w:themeColor="background1" w:themeShade="80"/>
          <w:sz w:val="18"/>
          <w:szCs w:val="18"/>
        </w:rPr>
        <w:t xml:space="preserve">Avoid redundant explanations to </w:t>
      </w:r>
      <w:bookmarkEnd w:id="1"/>
      <w:r>
        <w:rPr>
          <w:rFonts w:ascii="Times New Roman" w:hAnsi="Times New Roman" w:cs="Times New Roman"/>
          <w:b/>
          <w:bCs/>
          <w:i/>
          <w:iCs/>
          <w:color w:val="808080" w:themeColor="background1" w:themeShade="80"/>
          <w:sz w:val="18"/>
          <w:szCs w:val="18"/>
        </w:rPr>
        <w:t>content given in the Main Text section;</w:t>
      </w:r>
    </w:p>
    <w:p w14:paraId="4B8775E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Contributors should avoid making statements on economic benefits and costs except for economic data and analyses that serve as an integral part of the manuscript.</w:t>
      </w:r>
    </w:p>
    <w:p w14:paraId="26C2A2A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3E730B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2745D2D3">
      <w:pPr>
        <w:pStyle w:val="8"/>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sz w:val="20"/>
          <w:szCs w:val="20"/>
        </w:rPr>
        <w:t>the criteria</w:t>
      </w:r>
      <w:r>
        <w:rPr>
          <w:rStyle w:val="17"/>
          <w:rFonts w:ascii="Times New Roman" w:hAnsi="Times New Roman" w:cs="Times New Roman" w:eastAsiaTheme="minorEastAsia"/>
          <w:b/>
          <w:bCs/>
          <w:kern w:val="2"/>
          <w:sz w:val="20"/>
          <w:szCs w:val="20"/>
        </w:rPr>
        <w:fldChar w:fldCharType="end"/>
      </w:r>
      <w:r>
        <w:rPr>
          <w:rFonts w:ascii="Times New Roman" w:hAnsi="Times New Roman" w:cs="Times New Roman" w:eastAsiaTheme="minorEastAsia"/>
          <w:sz w:val="20"/>
          <w:szCs w:val="20"/>
        </w:rPr>
        <w:t xml:space="preserve"> </w:t>
      </w:r>
      <w:r>
        <w:rPr>
          <w:rFonts w:ascii="Times New Roman" w:hAnsi="Times New Roman" w:cs="Times New Roman"/>
          <w:sz w:val="20"/>
          <w:szCs w:val="20"/>
        </w:rPr>
        <w:t>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B5AE6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20F0D01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Single author: </w:t>
      </w:r>
    </w:p>
    <w:p w14:paraId="516C6D1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47A281B8">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405752AD">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Made substantial contributions to conception and design of the study and performed data analysis and interpretation: Salas H, Castaneda WV;</w:t>
      </w:r>
    </w:p>
    <w:p w14:paraId="710B80B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Performed data acquisition, as well as provided administrative, technical, and material support: Castillo N, Young V</w:t>
      </w:r>
    </w:p>
    <w:p w14:paraId="61563D2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4474FC6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5704B3B8">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A6F76A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5128CD1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5501FE8">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0DE4BE22">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1B5ED05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1F6B0647">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67DC8A8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12BAB0B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not,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sz w:val="20"/>
          <w:szCs w:val="20"/>
        </w:rPr>
        <w:t>”.</w:t>
      </w:r>
    </w:p>
    <w:p w14:paraId="1F19156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0"/>
          <w:szCs w:val="20"/>
        </w:rPr>
        <w:t>”</w:t>
      </w:r>
      <w:bookmarkEnd w:id="2"/>
      <w:bookmarkEnd w:id="3"/>
      <w:r>
        <w:rPr>
          <w:rFonts w:ascii="Times New Roman" w:hAnsi="Times New Roman" w:cs="Times New Roman"/>
          <w:sz w:val="20"/>
          <w:szCs w:val="20"/>
        </w:rPr>
        <w:t xml:space="preserve">. </w:t>
      </w:r>
    </w:p>
    <w:p w14:paraId="2056AC2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4" w:name="OLE_LINK13"/>
      <w:bookmarkStart w:id="5" w:name="OLE_LINK12"/>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Conflicts of Interest” of in </w:t>
      </w:r>
      <w:r>
        <w:rPr>
          <w:rFonts w:hint="eastAsia" w:ascii="Times New Roman" w:hAnsi="Times New Roman" w:cs="Times New Roman"/>
          <w:sz w:val="20"/>
          <w:szCs w:val="20"/>
        </w:rPr>
        <w:t>the</w:t>
      </w:r>
      <w:r>
        <w:rPr>
          <w:rFonts w:ascii="Times New Roman" w:hAnsi="Times New Roman" w:cs="Times New Roman"/>
          <w:sz w:val="20"/>
          <w:szCs w:val="20"/>
        </w:rPr>
        <w:t xml:space="preserve">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"https://www.oaepublish.com/aec/editorial_policies" </w:instrText>
      </w:r>
      <w:r>
        <w:rPr>
          <w:rFonts w:ascii="Times New Roman" w:hAnsi="Times New Roman" w:cs="Times New Roman"/>
          <w:b/>
          <w:bCs/>
          <w:color w:val="auto"/>
          <w:sz w:val="20"/>
          <w:szCs w:val="20"/>
          <w:u w:val="none"/>
        </w:rPr>
        <w:fldChar w:fldCharType="separate"/>
      </w:r>
      <w:r>
        <w:rPr>
          <w:rStyle w:val="17"/>
          <w:rFonts w:ascii="Times New Roman" w:hAnsi="Times New Roman" w:cs="Times New Roman"/>
          <w:b/>
          <w:bCs/>
          <w:sz w:val="20"/>
          <w:szCs w:val="20"/>
        </w:rPr>
        <w:t>Editorial Policies</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 xml:space="preserve"> of </w:t>
      </w:r>
      <w:r>
        <w:rPr>
          <w:rFonts w:hint="eastAsia" w:ascii="Times New Roman" w:hAnsi="Times New Roman" w:cs="Times New Roman"/>
          <w:i/>
          <w:iCs/>
          <w:sz w:val="20"/>
          <w:szCs w:val="20"/>
          <w:lang w:val="en-US" w:eastAsia="zh-CN"/>
        </w:rPr>
        <w:t>Advanced Energy Conversion</w:t>
      </w:r>
      <w:r>
        <w:rPr>
          <w:rFonts w:ascii="Times New Roman" w:hAnsi="Times New Roman" w:cs="Times New Roman"/>
          <w:sz w:val="20"/>
          <w:szCs w:val="20"/>
        </w:rPr>
        <w:t xml:space="preserve"> for a full explanation.</w:t>
      </w:r>
    </w:p>
    <w:p w14:paraId="3816C2D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5C3E4D55">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202</w:t>
      </w:r>
      <w:r>
        <w:rPr>
          <w:rFonts w:hint="eastAsia" w:ascii="Times New Roman" w:hAnsi="Times New Roman" w:eastAsia="宋体" w:cs="Times New Roman"/>
          <w:color w:val="000000"/>
          <w:kern w:val="0"/>
          <w:sz w:val="20"/>
          <w:szCs w:val="20"/>
        </w:rPr>
        <w:t>5</w:t>
      </w:r>
      <w:r>
        <w:rPr>
          <w:rFonts w:ascii="Times New Roman" w:hAnsi="Times New Roman" w:eastAsia="宋体" w:cs="Times New Roman"/>
          <w:color w:val="000000"/>
          <w:kern w:val="0"/>
          <w:sz w:val="20"/>
          <w:szCs w:val="20"/>
        </w:rPr>
        <w:t>.</w:t>
      </w:r>
    </w:p>
    <w:p w14:paraId="5D29A6CB">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1F0AFAF">
      <w:pPr>
        <w:adjustRightInd w:val="0"/>
        <w:snapToGrid w:val="0"/>
        <w:spacing w:line="260" w:lineRule="atLeast"/>
        <w:rPr>
          <w:rFonts w:ascii="Times New Roman" w:hAnsi="Times New Roman"/>
          <w:sz w:val="20"/>
          <w:szCs w:val="20"/>
        </w:rPr>
      </w:pPr>
      <w:bookmarkStart w:id="6" w:name="_Hlk59623331"/>
      <w:r>
        <w:rPr>
          <w:rFonts w:ascii="Times New Roman" w:hAnsi="Times New Roman"/>
          <w:sz w:val="20"/>
          <w:szCs w:val="20"/>
        </w:rPr>
        <w:t xml:space="preserve">Authors should cite references </w:t>
      </w:r>
      <w:r>
        <w:rPr>
          <w:rFonts w:ascii="Times New Roman" w:hAnsi="Times New Roman"/>
          <w:b/>
          <w:sz w:val="20"/>
          <w:szCs w:val="20"/>
        </w:rPr>
        <w:t>in sequence</w:t>
      </w:r>
      <w:r>
        <w:rPr>
          <w:rFonts w:ascii="Times New Roman" w:hAnsi="Times New Roman"/>
          <w:sz w:val="20"/>
          <w:szCs w:val="20"/>
        </w:rPr>
        <w:t xml:space="preserve"> throughout the manuscript and indicate them in a superscript square bracket with one citation number</w:t>
      </w:r>
      <w:r>
        <w:rPr>
          <w:rFonts w:ascii="Times New Roman" w:hAnsi="Times New Roman"/>
          <w:sz w:val="20"/>
          <w:szCs w:val="20"/>
          <w:vertAlign w:val="superscript"/>
        </w:rPr>
        <w:t>[3]</w:t>
      </w:r>
      <w:r>
        <w:rPr>
          <w:rFonts w:ascii="Times New Roman" w:hAnsi="Times New Roman"/>
          <w:sz w:val="20"/>
          <w:szCs w:val="20"/>
        </w:rPr>
        <w:t>, two separate citation numbers</w:t>
      </w:r>
      <w:r>
        <w:rPr>
          <w:rFonts w:ascii="Times New Roman" w:hAnsi="Times New Roman"/>
          <w:sz w:val="20"/>
          <w:szCs w:val="20"/>
          <w:vertAlign w:val="superscript"/>
        </w:rPr>
        <w:t>[4,5]</w:t>
      </w:r>
      <w:r>
        <w:rPr>
          <w:rFonts w:ascii="Times New Roman" w:hAnsi="Times New Roman"/>
          <w:sz w:val="20"/>
          <w:szCs w:val="20"/>
        </w:rPr>
        <w:t xml:space="preserve"> or several consecutive citation numbers</w:t>
      </w:r>
      <w:r>
        <w:rPr>
          <w:rFonts w:ascii="Times New Roman" w:hAnsi="Times New Roman"/>
          <w:sz w:val="20"/>
          <w:szCs w:val="20"/>
          <w:vertAlign w:val="superscript"/>
        </w:rPr>
        <w:t>[6-9]</w:t>
      </w:r>
      <w:r>
        <w:rPr>
          <w:rFonts w:ascii="Times New Roman" w:hAnsi="Times New Roman"/>
          <w:sz w:val="20"/>
          <w:szCs w:val="20"/>
        </w:rPr>
        <w:t xml:space="preserve">. </w:t>
      </w:r>
    </w:p>
    <w:p w14:paraId="2990A2AB">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We suggest that authors should cite appropriate, traceable and latest references be within recent 5 years; </w:t>
      </w:r>
    </w:p>
    <w:p w14:paraId="2CBD48A6">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Each reference should have a corresponding DOI number/website link;</w:t>
      </w:r>
    </w:p>
    <w:p w14:paraId="7498C990">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Top five authors’ names should be listed in the references; </w:t>
      </w:r>
    </w:p>
    <w:p w14:paraId="2479A189">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b/>
          <w:bCs/>
          <w:iCs/>
          <w:color w:val="808080"/>
          <w:sz w:val="18"/>
          <w:szCs w:val="18"/>
        </w:rPr>
        <w:t>http://www2.bg.am.poznan.pl/czasopisma/medicus.php?lang=eng</w:t>
      </w:r>
      <w:r>
        <w:rPr>
          <w:rStyle w:val="17"/>
          <w:rFonts w:ascii="Times New Roman" w:hAnsi="Times New Roman"/>
          <w:b/>
          <w:bCs/>
          <w:iCs/>
          <w:color w:val="808080"/>
          <w:sz w:val="18"/>
          <w:szCs w:val="18"/>
        </w:rPr>
        <w:fldChar w:fldCharType="end"/>
      </w:r>
      <w:r>
        <w:rPr>
          <w:rFonts w:ascii="Times New Roman" w:hAnsi="Times New Roman"/>
          <w:b/>
          <w:bCs/>
          <w:i/>
          <w:iCs/>
          <w:color w:val="808080"/>
          <w:sz w:val="18"/>
          <w:szCs w:val="18"/>
        </w:rPr>
        <w:t>)</w:t>
      </w:r>
      <w:r>
        <w:rPr>
          <w:rFonts w:ascii="Times New Roman" w:hAnsi="Times New Roman"/>
          <w:bCs/>
          <w:i/>
          <w:iCs/>
          <w:color w:val="808080"/>
          <w:sz w:val="18"/>
          <w:szCs w:val="18"/>
        </w:rPr>
        <w:t>.</w:t>
      </w:r>
    </w:p>
    <w:p w14:paraId="6936C0EF">
      <w:pPr>
        <w:adjustRightInd w:val="0"/>
        <w:snapToGrid w:val="0"/>
        <w:spacing w:before="156" w:beforeLines="50" w:line="260" w:lineRule="atLeast"/>
        <w:rPr>
          <w:rFonts w:ascii="Times New Roman" w:hAnsi="Times New Roman"/>
          <w:sz w:val="20"/>
          <w:szCs w:val="20"/>
        </w:rPr>
      </w:pPr>
      <w:r>
        <w:rPr>
          <w:rFonts w:ascii="Times New Roman" w:hAnsi="Times New Roman"/>
          <w:sz w:val="20"/>
          <w:szCs w:val="20"/>
        </w:rPr>
        <w:t>Examples of references are shown below:</w:t>
      </w:r>
    </w:p>
    <w:bookmarkEnd w:id="6"/>
    <w:p w14:paraId="1EC11349">
      <w:pPr>
        <w:jc w:val="left"/>
        <w:rPr>
          <w:rFonts w:ascii="Times New Roman" w:hAnsi="Times New Roman" w:cs="Times New Roman"/>
          <w:b/>
          <w:bCs/>
          <w:sz w:val="20"/>
          <w:szCs w:val="20"/>
        </w:rPr>
      </w:pPr>
      <w:r>
        <w:rPr>
          <w:rFonts w:ascii="Times New Roman" w:hAnsi="Times New Roman" w:cs="Times New Roman"/>
          <w:b/>
          <w:bCs/>
          <w:sz w:val="20"/>
          <w:szCs w:val="20"/>
        </w:rPr>
        <w:t>Journal articles by individual authors</w:t>
      </w:r>
    </w:p>
    <w:p w14:paraId="700D9DBA">
      <w:pPr>
        <w:jc w:val="left"/>
        <w:rPr>
          <w:rFonts w:ascii="Times New Roman" w:hAnsi="Times New Roman" w:cs="Times New Roman"/>
          <w:sz w:val="20"/>
          <w:szCs w:val="20"/>
        </w:rPr>
      </w:pPr>
      <w:r>
        <w:rPr>
          <w:rFonts w:ascii="Times New Roman" w:hAnsi="Times New Roman" w:cs="Times New Roman"/>
          <w:sz w:val="20"/>
          <w:szCs w:val="20"/>
        </w:rPr>
        <w:t xml:space="preserve">Weaver, D. L.; Ashikaga, T.; Krag, D. N. Effect of occult metastases on survival in node-negative breast cancer. </w:t>
      </w:r>
      <w:r>
        <w:rPr>
          <w:rFonts w:ascii="Times New Roman" w:hAnsi="Times New Roman" w:cs="Times New Roman"/>
          <w:i/>
          <w:iCs/>
          <w:sz w:val="20"/>
          <w:szCs w:val="20"/>
        </w:rPr>
        <w:t>N. Engl. J. Med.</w:t>
      </w:r>
      <w:r>
        <w:rPr>
          <w:rFonts w:ascii="Times New Roman" w:hAnsi="Times New Roman" w:cs="Times New Roman"/>
          <w:sz w:val="20"/>
          <w:szCs w:val="20"/>
        </w:rPr>
        <w:t xml:space="preserve"> </w:t>
      </w:r>
      <w:r>
        <w:rPr>
          <w:rFonts w:ascii="Times New Roman" w:hAnsi="Times New Roman" w:cs="Times New Roman"/>
          <w:b/>
          <w:bCs/>
          <w:sz w:val="20"/>
          <w:szCs w:val="20"/>
        </w:rPr>
        <w:t>2011</w:t>
      </w:r>
      <w:r>
        <w:rPr>
          <w:rFonts w:ascii="Times New Roman" w:hAnsi="Times New Roman" w:cs="Times New Roman"/>
          <w:sz w:val="20"/>
          <w:szCs w:val="20"/>
        </w:rPr>
        <w:t xml:space="preserve">, </w:t>
      </w:r>
      <w:r>
        <w:rPr>
          <w:rFonts w:ascii="Times New Roman" w:hAnsi="Times New Roman" w:cs="Times New Roman"/>
          <w:i/>
          <w:iCs/>
          <w:sz w:val="20"/>
          <w:szCs w:val="20"/>
        </w:rPr>
        <w:t>364</w:t>
      </w:r>
      <w:r>
        <w:rPr>
          <w:rFonts w:ascii="Times New Roman" w:hAnsi="Times New Roman" w:cs="Times New Roman"/>
          <w:sz w:val="20"/>
          <w:szCs w:val="20"/>
        </w:rPr>
        <w:t>, 412-421. DOI: 10.1056/NEJMoa1008108</w:t>
      </w:r>
    </w:p>
    <w:p w14:paraId="5568C9FA">
      <w:pPr>
        <w:jc w:val="left"/>
        <w:rPr>
          <w:rFonts w:ascii="Times New Roman" w:hAnsi="Times New Roman" w:cs="Times New Roman"/>
          <w:sz w:val="20"/>
          <w:szCs w:val="20"/>
        </w:rPr>
      </w:pPr>
    </w:p>
    <w:p w14:paraId="30195AC1">
      <w:pPr>
        <w:jc w:val="left"/>
        <w:rPr>
          <w:rFonts w:ascii="Times New Roman" w:hAnsi="Times New Roman" w:cs="Times New Roman"/>
          <w:b/>
          <w:bCs/>
          <w:sz w:val="20"/>
          <w:szCs w:val="20"/>
        </w:rPr>
      </w:pPr>
      <w:r>
        <w:rPr>
          <w:rFonts w:ascii="Times New Roman" w:hAnsi="Times New Roman" w:cs="Times New Roman"/>
          <w:b/>
          <w:bCs/>
          <w:sz w:val="20"/>
          <w:szCs w:val="20"/>
        </w:rPr>
        <w:t>Organization as author</w:t>
      </w:r>
    </w:p>
    <w:p w14:paraId="57BB7D45">
      <w:pPr>
        <w:jc w:val="left"/>
        <w:rPr>
          <w:rFonts w:ascii="Times New Roman" w:hAnsi="Times New Roman" w:cs="Times New Roman"/>
          <w:sz w:val="20"/>
          <w:szCs w:val="20"/>
        </w:rPr>
      </w:pPr>
      <w:r>
        <w:rPr>
          <w:rFonts w:ascii="Times New Roman" w:hAnsi="Times New Roman" w:cs="Times New Roman"/>
          <w:sz w:val="20"/>
          <w:szCs w:val="20"/>
        </w:rPr>
        <w:t>Diabetes Prevention Program Research Group. Hypertension, insulin, and proinsulin in participants with impaired glucose tolerance. </w:t>
      </w:r>
      <w:r>
        <w:rPr>
          <w:rFonts w:ascii="Times New Roman" w:hAnsi="Times New Roman" w:cs="Times New Roman"/>
          <w:i/>
          <w:iCs/>
          <w:sz w:val="20"/>
          <w:szCs w:val="20"/>
        </w:rPr>
        <w:t>Hypertension</w:t>
      </w:r>
      <w:r>
        <w:rPr>
          <w:rFonts w:ascii="Times New Roman" w:hAnsi="Times New Roman" w:cs="Times New Roman"/>
          <w:sz w:val="20"/>
          <w:szCs w:val="20"/>
        </w:rPr>
        <w:t> </w:t>
      </w:r>
      <w:r>
        <w:rPr>
          <w:rFonts w:ascii="Times New Roman" w:hAnsi="Times New Roman" w:cs="Times New Roman"/>
          <w:b/>
          <w:bCs/>
          <w:sz w:val="20"/>
          <w:szCs w:val="20"/>
        </w:rPr>
        <w:t>2002</w:t>
      </w:r>
      <w:r>
        <w:rPr>
          <w:rFonts w:ascii="Times New Roman" w:hAnsi="Times New Roman" w:cs="Times New Roman"/>
          <w:sz w:val="20"/>
          <w:szCs w:val="20"/>
        </w:rPr>
        <w:t xml:space="preserve">, </w:t>
      </w:r>
      <w:r>
        <w:rPr>
          <w:rFonts w:ascii="Times New Roman" w:hAnsi="Times New Roman" w:cs="Times New Roman"/>
          <w:i/>
          <w:iCs/>
          <w:sz w:val="20"/>
          <w:szCs w:val="20"/>
        </w:rPr>
        <w:t>40</w:t>
      </w:r>
      <w:r>
        <w:rPr>
          <w:rFonts w:ascii="Times New Roman" w:hAnsi="Times New Roman" w:cs="Times New Roman"/>
          <w:sz w:val="20"/>
          <w:szCs w:val="20"/>
        </w:rPr>
        <w:t>, 679-686. DOI: 10.1161/01.HYP.0000035706.28494.09</w:t>
      </w:r>
    </w:p>
    <w:p w14:paraId="4EC1B421">
      <w:pPr>
        <w:jc w:val="left"/>
        <w:rPr>
          <w:rFonts w:ascii="Times New Roman" w:hAnsi="Times New Roman" w:cs="Times New Roman"/>
          <w:sz w:val="20"/>
          <w:szCs w:val="20"/>
        </w:rPr>
      </w:pPr>
    </w:p>
    <w:p w14:paraId="78283DB0">
      <w:pPr>
        <w:jc w:val="left"/>
        <w:rPr>
          <w:rFonts w:ascii="Times New Roman" w:hAnsi="Times New Roman" w:cs="Times New Roman"/>
          <w:b/>
          <w:bCs/>
          <w:sz w:val="20"/>
          <w:szCs w:val="20"/>
        </w:rPr>
      </w:pPr>
      <w:r>
        <w:rPr>
          <w:rFonts w:ascii="Times New Roman" w:hAnsi="Times New Roman" w:cs="Times New Roman"/>
          <w:b/>
          <w:bCs/>
          <w:sz w:val="20"/>
          <w:szCs w:val="20"/>
        </w:rPr>
        <w:t>Both personal authors and organization as author</w:t>
      </w:r>
    </w:p>
    <w:p w14:paraId="3AD371C3">
      <w:pPr>
        <w:jc w:val="left"/>
        <w:rPr>
          <w:rFonts w:ascii="Times New Roman" w:hAnsi="Times New Roman" w:cs="Times New Roman"/>
          <w:sz w:val="20"/>
          <w:szCs w:val="20"/>
        </w:rPr>
      </w:pPr>
      <w:r>
        <w:rPr>
          <w:rFonts w:ascii="Times New Roman" w:hAnsi="Times New Roman" w:cs="Times New Roman"/>
          <w:sz w:val="20"/>
          <w:szCs w:val="20"/>
        </w:rPr>
        <w:t>Vallancien, G.; Emberton, M.; Harving, N.; van Moorselaar, R. J.; Alf-One Study Group. Sexual dysfunction in 1,274 European men suffering from lower urinary tract symptoms</w:t>
      </w:r>
      <w:r>
        <w:rPr>
          <w:rFonts w:ascii="Times New Roman" w:hAnsi="Times New Roman" w:cs="Times New Roman"/>
          <w:i/>
          <w:iCs/>
          <w:sz w:val="20"/>
          <w:szCs w:val="20"/>
        </w:rPr>
        <w:t>. J. Urol. </w:t>
      </w:r>
      <w:r>
        <w:rPr>
          <w:rFonts w:ascii="Times New Roman" w:hAnsi="Times New Roman" w:cs="Times New Roman"/>
          <w:b/>
          <w:bCs/>
          <w:sz w:val="20"/>
          <w:szCs w:val="20"/>
        </w:rPr>
        <w:t>2003</w:t>
      </w:r>
      <w:r>
        <w:rPr>
          <w:rFonts w:ascii="Times New Roman" w:hAnsi="Times New Roman" w:cs="Times New Roman"/>
          <w:sz w:val="20"/>
          <w:szCs w:val="20"/>
        </w:rPr>
        <w:t xml:space="preserve">, </w:t>
      </w:r>
      <w:r>
        <w:rPr>
          <w:rFonts w:ascii="Times New Roman" w:hAnsi="Times New Roman" w:cs="Times New Roman"/>
          <w:i/>
          <w:iCs/>
          <w:sz w:val="20"/>
          <w:szCs w:val="20"/>
        </w:rPr>
        <w:t>169</w:t>
      </w:r>
      <w:r>
        <w:rPr>
          <w:rFonts w:ascii="Times New Roman" w:hAnsi="Times New Roman" w:cs="Times New Roman"/>
          <w:sz w:val="20"/>
          <w:szCs w:val="20"/>
        </w:rPr>
        <w:t>, 2257-2261. DOI: 10.1097/01.ju.0000067940.76090.73</w:t>
      </w:r>
    </w:p>
    <w:p w14:paraId="5CC0242C">
      <w:pPr>
        <w:jc w:val="left"/>
        <w:rPr>
          <w:rFonts w:ascii="Times New Roman" w:hAnsi="Times New Roman" w:cs="Times New Roman"/>
          <w:sz w:val="20"/>
          <w:szCs w:val="20"/>
        </w:rPr>
      </w:pPr>
    </w:p>
    <w:p w14:paraId="5238A01F">
      <w:pPr>
        <w:jc w:val="left"/>
        <w:rPr>
          <w:rFonts w:ascii="Times New Roman" w:hAnsi="Times New Roman" w:cs="Times New Roman"/>
          <w:b/>
          <w:bCs/>
          <w:sz w:val="20"/>
          <w:szCs w:val="20"/>
        </w:rPr>
      </w:pPr>
      <w:r>
        <w:rPr>
          <w:rFonts w:ascii="Times New Roman" w:hAnsi="Times New Roman" w:cs="Times New Roman"/>
          <w:b/>
          <w:bCs/>
          <w:sz w:val="20"/>
          <w:szCs w:val="20"/>
        </w:rPr>
        <w:t>Journal articles not in English</w:t>
      </w:r>
    </w:p>
    <w:p w14:paraId="6163B3EE">
      <w:pPr>
        <w:jc w:val="left"/>
        <w:rPr>
          <w:rFonts w:ascii="Times New Roman" w:hAnsi="Times New Roman" w:cs="Times New Roman"/>
          <w:sz w:val="20"/>
          <w:szCs w:val="20"/>
        </w:rPr>
      </w:pPr>
      <w:r>
        <w:rPr>
          <w:rFonts w:ascii="Times New Roman" w:hAnsi="Times New Roman" w:cs="Times New Roman"/>
          <w:sz w:val="20"/>
          <w:szCs w:val="20"/>
        </w:rPr>
        <w:t>Zhang X.; Xiong H.; Ji T. Y.; Zhang Y. H.; Wang Y. Case report of anti-N-methyl-D-aspartate receptor encephalitis in child.</w:t>
      </w:r>
      <w:r>
        <w:rPr>
          <w:rFonts w:ascii="Times New Roman" w:hAnsi="Times New Roman" w:cs="Times New Roman"/>
          <w:i/>
          <w:iCs/>
          <w:sz w:val="20"/>
          <w:szCs w:val="20"/>
        </w:rPr>
        <w:t xml:space="preserve"> J. Appl. Clin. Pediatr.</w:t>
      </w:r>
      <w:r>
        <w:rPr>
          <w:rFonts w:ascii="Times New Roman" w:hAnsi="Times New Roman" w:cs="Times New Roman"/>
          <w:sz w:val="20"/>
          <w:szCs w:val="20"/>
        </w:rPr>
        <w:t> </w:t>
      </w:r>
      <w:r>
        <w:rPr>
          <w:rFonts w:ascii="Times New Roman" w:hAnsi="Times New Roman" w:cs="Times New Roman"/>
          <w:b/>
          <w:bCs/>
          <w:sz w:val="20"/>
          <w:szCs w:val="20"/>
        </w:rPr>
        <w:t>2012</w:t>
      </w:r>
      <w:r>
        <w:rPr>
          <w:rFonts w:ascii="Times New Roman" w:hAnsi="Times New Roman" w:cs="Times New Roman"/>
          <w:sz w:val="20"/>
          <w:szCs w:val="20"/>
        </w:rPr>
        <w:t xml:space="preserve">, </w:t>
      </w:r>
      <w:r>
        <w:rPr>
          <w:rFonts w:ascii="Times New Roman" w:hAnsi="Times New Roman" w:cs="Times New Roman"/>
          <w:i/>
          <w:iCs/>
          <w:sz w:val="20"/>
          <w:szCs w:val="20"/>
        </w:rPr>
        <w:t>27</w:t>
      </w:r>
      <w:r>
        <w:rPr>
          <w:rFonts w:ascii="Times New Roman" w:hAnsi="Times New Roman" w:cs="Times New Roman"/>
          <w:sz w:val="20"/>
          <w:szCs w:val="20"/>
        </w:rPr>
        <w:t>, 1903-1907. (in Chinese)</w:t>
      </w:r>
    </w:p>
    <w:p w14:paraId="48FA962A">
      <w:pPr>
        <w:jc w:val="left"/>
        <w:rPr>
          <w:rFonts w:ascii="Times New Roman" w:hAnsi="Times New Roman" w:cs="Times New Roman"/>
          <w:sz w:val="20"/>
          <w:szCs w:val="20"/>
        </w:rPr>
      </w:pPr>
    </w:p>
    <w:p w14:paraId="505FA7E4">
      <w:pPr>
        <w:jc w:val="left"/>
        <w:rPr>
          <w:rFonts w:ascii="Times New Roman" w:hAnsi="Times New Roman" w:cs="Times New Roman"/>
          <w:b/>
          <w:bCs/>
          <w:sz w:val="20"/>
          <w:szCs w:val="20"/>
        </w:rPr>
      </w:pPr>
      <w:r>
        <w:rPr>
          <w:rFonts w:ascii="Times New Roman" w:hAnsi="Times New Roman" w:cs="Times New Roman"/>
          <w:b/>
          <w:bCs/>
          <w:sz w:val="20"/>
          <w:szCs w:val="20"/>
        </w:rPr>
        <w:t>Journal articles ahead of print</w:t>
      </w:r>
    </w:p>
    <w:p w14:paraId="00B8BF7B">
      <w:pPr>
        <w:jc w:val="left"/>
        <w:rPr>
          <w:rFonts w:ascii="Times New Roman" w:hAnsi="Times New Roman" w:cs="Times New Roman"/>
          <w:sz w:val="20"/>
          <w:szCs w:val="20"/>
        </w:rPr>
      </w:pPr>
      <w:r>
        <w:rPr>
          <w:rFonts w:ascii="Times New Roman" w:hAnsi="Times New Roman" w:cs="Times New Roman"/>
          <w:sz w:val="20"/>
          <w:szCs w:val="20"/>
        </w:rPr>
        <w:t xml:space="preserve">Odibo, A. O.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cs="Times New Roman"/>
          <w:sz w:val="20"/>
          <w:szCs w:val="20"/>
        </w:rPr>
        <w:t xml:space="preserve">. </w:t>
      </w:r>
      <w:r>
        <w:rPr>
          <w:rFonts w:ascii="Times New Roman" w:hAnsi="Times New Roman" w:cs="Times New Roman"/>
          <w:b/>
          <w:bCs/>
          <w:sz w:val="20"/>
          <w:szCs w:val="20"/>
        </w:rPr>
        <w:t>2018</w:t>
      </w:r>
      <w:r>
        <w:rPr>
          <w:rFonts w:ascii="Times New Roman" w:hAnsi="Times New Roman" w:cs="Times New Roman"/>
          <w:sz w:val="20"/>
          <w:szCs w:val="20"/>
        </w:rPr>
        <w:t>, Epub ahead of print [DOI: 10.1111/1471-0528.15541]</w:t>
      </w:r>
    </w:p>
    <w:p w14:paraId="4A968981">
      <w:pPr>
        <w:jc w:val="left"/>
        <w:rPr>
          <w:rFonts w:ascii="Times New Roman" w:hAnsi="Times New Roman" w:eastAsia="Roboto" w:cs="Times New Roman"/>
          <w:color w:val="000000"/>
          <w:sz w:val="20"/>
          <w:szCs w:val="20"/>
          <w:shd w:val="clear" w:color="auto" w:fill="FFFFFF"/>
        </w:rPr>
      </w:pPr>
    </w:p>
    <w:p w14:paraId="0C260012">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w:t>
      </w:r>
    </w:p>
    <w:p w14:paraId="28DD683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Oxford University Press, 2015. DOI: 10.1093/acprof:oso/9780198738671.001.0001</w:t>
      </w:r>
    </w:p>
    <w:p w14:paraId="50F2D560">
      <w:pPr>
        <w:jc w:val="left"/>
        <w:rPr>
          <w:rFonts w:ascii="Times New Roman" w:hAnsi="Times New Roman" w:eastAsia="Roboto" w:cs="Times New Roman"/>
          <w:color w:val="000000"/>
          <w:sz w:val="20"/>
          <w:szCs w:val="20"/>
          <w:shd w:val="clear" w:color="auto" w:fill="FFFFFF"/>
        </w:rPr>
      </w:pPr>
    </w:p>
    <w:p w14:paraId="0EF098D9">
      <w:pPr>
        <w:jc w:val="left"/>
        <w:rPr>
          <w:rFonts w:ascii="Times New Roman" w:hAnsi="Times New Roman" w:eastAsia="宋体"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Book in print</w:t>
      </w:r>
      <w:r>
        <w:rPr>
          <w:rFonts w:ascii="Times New Roman" w:hAnsi="Times New Roman" w:eastAsia="宋体" w:cs="Times New Roman"/>
          <w:b/>
          <w:bCs/>
          <w:color w:val="000000"/>
          <w:sz w:val="20"/>
          <w:szCs w:val="20"/>
          <w:shd w:val="clear" w:color="auto" w:fill="FFFFFF"/>
        </w:rPr>
        <w:t xml:space="preserve"> </w:t>
      </w:r>
    </w:p>
    <w:p w14:paraId="3F246F8F">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 xml:space="preserve">Frankel, F. </w:t>
      </w:r>
      <w:r>
        <w:rPr>
          <w:rFonts w:ascii="Times New Roman" w:hAnsi="Times New Roman" w:eastAsia="Roboto" w:cs="Times New Roman"/>
          <w:i/>
          <w:iCs/>
          <w:color w:val="000000"/>
          <w:sz w:val="20"/>
          <w:szCs w:val="20"/>
          <w:shd w:val="clear" w:color="auto" w:fill="FFFFFF"/>
        </w:rPr>
        <w:t>Picturing Science and Engineering</w:t>
      </w:r>
      <w:r>
        <w:rPr>
          <w:rFonts w:ascii="Times New Roman" w:hAnsi="Times New Roman" w:eastAsia="Roboto" w:cs="Times New Roman"/>
          <w:color w:val="000000"/>
          <w:sz w:val="20"/>
          <w:szCs w:val="20"/>
          <w:shd w:val="clear" w:color="auto" w:fill="FFFFFF"/>
        </w:rPr>
        <w:t>; MIT Press, 2018.</w:t>
      </w:r>
    </w:p>
    <w:p w14:paraId="73D899A9">
      <w:pPr>
        <w:jc w:val="left"/>
        <w:rPr>
          <w:rFonts w:ascii="Times New Roman" w:hAnsi="Times New Roman" w:eastAsia="Roboto" w:cs="Times New Roman"/>
          <w:color w:val="000000"/>
          <w:sz w:val="20"/>
          <w:szCs w:val="20"/>
          <w:shd w:val="clear" w:color="auto" w:fill="FFFFFF"/>
        </w:rPr>
      </w:pPr>
    </w:p>
    <w:p w14:paraId="578BEAFE">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chapter</w:t>
      </w:r>
    </w:p>
    <w:p w14:paraId="2DC3033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Crystal Symmetry. In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International Union of Crystallography Texts on Crystallography, Vol. 21; Oxford University Press, 2015; pp 99−134. DOI: 10.1093/acprof:oso/9780198738671.003.0004</w:t>
      </w:r>
    </w:p>
    <w:p w14:paraId="2D5E3E60">
      <w:pPr>
        <w:jc w:val="left"/>
        <w:rPr>
          <w:rFonts w:ascii="Times New Roman" w:hAnsi="Times New Roman" w:eastAsia="Roboto" w:cs="Times New Roman"/>
          <w:color w:val="000000"/>
          <w:sz w:val="20"/>
          <w:szCs w:val="20"/>
          <w:shd w:val="clear" w:color="auto" w:fill="FFFFFF"/>
        </w:rPr>
      </w:pPr>
    </w:p>
    <w:p w14:paraId="138BBEF8">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with editors</w:t>
      </w:r>
    </w:p>
    <w:p w14:paraId="7329FE9E">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Mom the Chemistry Professor: Personal Accounts and Advice from Chemistry Professors Who Are Mothers</w:t>
      </w:r>
      <w:r>
        <w:rPr>
          <w:rFonts w:ascii="Times New Roman" w:hAnsi="Times New Roman" w:eastAsia="Roboto" w:cs="Times New Roman"/>
          <w:color w:val="000000"/>
          <w:sz w:val="20"/>
          <w:szCs w:val="20"/>
          <w:shd w:val="clear" w:color="auto" w:fill="FFFFFF"/>
        </w:rPr>
        <w:t>, 2nd ed.; Woznack, K., Charlebois, A., Cole, R. S., Marzabadi, C. H., Webster, G., Eds.; Springer, 2018. DOI: 10.1007/978-3-319-78972-9</w:t>
      </w:r>
    </w:p>
    <w:p w14:paraId="2D19DB07">
      <w:pPr>
        <w:jc w:val="left"/>
        <w:rPr>
          <w:rFonts w:ascii="Times New Roman" w:hAnsi="Times New Roman" w:eastAsia="Roboto" w:cs="Times New Roman"/>
          <w:color w:val="000000"/>
          <w:sz w:val="20"/>
          <w:szCs w:val="20"/>
          <w:shd w:val="clear" w:color="auto" w:fill="FFFFFF"/>
        </w:rPr>
      </w:pPr>
    </w:p>
    <w:p w14:paraId="53F4571C">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series</w:t>
      </w:r>
    </w:p>
    <w:p w14:paraId="5FBEB685">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Gaede, H. C. Professional Development for REU Students. In </w:t>
      </w:r>
      <w:r>
        <w:rPr>
          <w:rFonts w:ascii="Times New Roman" w:hAnsi="Times New Roman" w:eastAsia="Roboto" w:cs="Times New Roman"/>
          <w:i/>
          <w:iCs/>
          <w:color w:val="000000"/>
          <w:sz w:val="20"/>
          <w:szCs w:val="20"/>
          <w:shd w:val="clear" w:color="auto" w:fill="FFFFFF"/>
        </w:rPr>
        <w:t>Best Practices for Chemistry REU Programs</w:t>
      </w:r>
      <w:r>
        <w:rPr>
          <w:rFonts w:ascii="Times New Roman" w:hAnsi="Times New Roman" w:eastAsia="Roboto" w:cs="Times New Roman"/>
          <w:color w:val="000000"/>
          <w:sz w:val="20"/>
          <w:szCs w:val="20"/>
          <w:shd w:val="clear" w:color="auto" w:fill="FFFFFF"/>
        </w:rPr>
        <w:t>; Griep, M. A, Watkins, L., Eds.; ACS Symposium Series, Vol. 1295; American Chemical Society, 2018; pp 33−44. DOI: 10.1021/bk-2018-1295.ch003</w:t>
      </w:r>
    </w:p>
    <w:p w14:paraId="326CF4FE">
      <w:pPr>
        <w:jc w:val="left"/>
        <w:rPr>
          <w:rFonts w:ascii="Times New Roman" w:hAnsi="Times New Roman" w:eastAsia="Roboto" w:cs="Times New Roman"/>
          <w:color w:val="000000"/>
          <w:sz w:val="20"/>
          <w:szCs w:val="20"/>
          <w:shd w:val="clear" w:color="auto" w:fill="FFFFFF"/>
        </w:rPr>
      </w:pPr>
    </w:p>
    <w:p w14:paraId="18FF8499">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w:t>
      </w:r>
    </w:p>
    <w:p w14:paraId="1D8EB0A2">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61B0288">
      <w:pPr>
        <w:jc w:val="left"/>
        <w:rPr>
          <w:rFonts w:ascii="Times New Roman" w:hAnsi="Times New Roman" w:eastAsia="Roboto" w:cs="Times New Roman"/>
          <w:color w:val="000000"/>
          <w:sz w:val="20"/>
          <w:szCs w:val="20"/>
          <w:shd w:val="clear" w:color="auto" w:fill="FFFFFF"/>
        </w:rPr>
      </w:pPr>
    </w:p>
    <w:p w14:paraId="553CE06A">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 in print</w:t>
      </w:r>
    </w:p>
    <w:p w14:paraId="1B7A2784">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Enander, R. T. Lead particulate and methylene chloride risks in automotive refinishing. Ph.D. Thesis, Tufts University, Medford, MA, 2001.</w:t>
      </w:r>
    </w:p>
    <w:p w14:paraId="384AA0BC">
      <w:pPr>
        <w:jc w:val="left"/>
        <w:rPr>
          <w:rFonts w:ascii="Times New Roman" w:hAnsi="Times New Roman" w:eastAsia="Roboto" w:cs="Times New Roman"/>
          <w:color w:val="000000"/>
          <w:sz w:val="20"/>
          <w:szCs w:val="20"/>
          <w:shd w:val="clear" w:color="auto" w:fill="FFFFFF"/>
        </w:rPr>
      </w:pPr>
    </w:p>
    <w:p w14:paraId="22052577">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Website</w:t>
      </w:r>
    </w:p>
    <w:p w14:paraId="3A7AFF8D">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World Health Organization Home Page</w:t>
      </w:r>
      <w:r>
        <w:rPr>
          <w:rFonts w:ascii="Times New Roman" w:hAnsi="Times New Roman" w:eastAsia="Roboto" w:cs="Times New Roman"/>
          <w:color w:val="000000"/>
          <w:sz w:val="20"/>
          <w:szCs w:val="20"/>
          <w:shd w:val="clear" w:color="auto" w:fill="FFFFFF"/>
        </w:rPr>
        <w:t>. https://www.who.int/ (accessed 2019-02-21).</w:t>
      </w:r>
    </w:p>
    <w:p w14:paraId="1BAA9C57">
      <w:pPr>
        <w:jc w:val="left"/>
        <w:rPr>
          <w:rFonts w:ascii="Times New Roman" w:hAnsi="Times New Roman" w:eastAsia="Roboto" w:cs="Times New Roman"/>
          <w:color w:val="000000"/>
          <w:sz w:val="20"/>
          <w:szCs w:val="20"/>
          <w:shd w:val="clear" w:color="auto" w:fill="FFFFFF"/>
        </w:rPr>
      </w:pPr>
    </w:p>
    <w:p w14:paraId="7B3C8075">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Newspaper</w:t>
      </w:r>
    </w:p>
    <w:p w14:paraId="5B18F3F3">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Beauge, J. School district sued over burns girl suffered during chemistry class demonstration. </w:t>
      </w:r>
      <w:r>
        <w:rPr>
          <w:rFonts w:ascii="Times New Roman" w:hAnsi="Times New Roman" w:eastAsia="Roboto" w:cs="Times New Roman"/>
          <w:i/>
          <w:iCs/>
          <w:color w:val="000000"/>
          <w:sz w:val="20"/>
          <w:szCs w:val="20"/>
          <w:shd w:val="clear" w:color="auto" w:fill="FFFFFF"/>
        </w:rPr>
        <w:t>PennLive (Harrisburg, PA)</w:t>
      </w:r>
      <w:r>
        <w:rPr>
          <w:rFonts w:ascii="Times New Roman" w:hAnsi="Times New Roman" w:eastAsia="Roboto" w:cs="Times New Roman"/>
          <w:color w:val="000000"/>
          <w:sz w:val="20"/>
          <w:szCs w:val="20"/>
          <w:shd w:val="clear" w:color="auto" w:fill="FFFFFF"/>
        </w:rPr>
        <w:t>, November 17, 2018, updated November 17, 2018. https://www.pennlive.com/news/2018/11/school_district_sued_over_burn.html (accessed 2019-02-22).</w:t>
      </w:r>
    </w:p>
    <w:p w14:paraId="67539D66">
      <w:pPr>
        <w:jc w:val="left"/>
        <w:rPr>
          <w:rFonts w:ascii="Times New Roman" w:hAnsi="Times New Roman" w:eastAsia="Roboto" w:cs="Times New Roman"/>
          <w:color w:val="000000"/>
          <w:sz w:val="20"/>
          <w:szCs w:val="20"/>
          <w:shd w:val="clear" w:color="auto" w:fill="FFFFFF"/>
        </w:rPr>
      </w:pPr>
    </w:p>
    <w:p w14:paraId="0DCA3005">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abstract</w:t>
      </w:r>
    </w:p>
    <w:p w14:paraId="20A0DAC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Okita, J.; Iwamoto, T.; Kira, M. Novel synthetic route for hydrosilyllithiums. In </w:t>
      </w:r>
      <w:r>
        <w:rPr>
          <w:rFonts w:ascii="Times New Roman" w:hAnsi="Times New Roman" w:eastAsia="Roboto" w:cs="Times New Roman"/>
          <w:i/>
          <w:iCs/>
          <w:color w:val="000000"/>
          <w:sz w:val="20"/>
          <w:szCs w:val="20"/>
          <w:shd w:val="clear" w:color="auto" w:fill="FFFFFF"/>
        </w:rPr>
        <w:t>Book of Abstracts, 2000 International Chemical Congress of Pacific Basin Societies (PACIFICHEM 2000)</w:t>
      </w:r>
      <w:r>
        <w:rPr>
          <w:rFonts w:ascii="Times New Roman" w:hAnsi="Times New Roman" w:eastAsia="Roboto" w:cs="Times New Roman"/>
          <w:color w:val="000000"/>
          <w:sz w:val="20"/>
          <w:szCs w:val="20"/>
          <w:shd w:val="clear" w:color="auto" w:fill="FFFFFF"/>
        </w:rPr>
        <w:t>, Honolulu, HI; Paper INOR 216.</w:t>
      </w:r>
    </w:p>
    <w:p w14:paraId="55F4D4A9">
      <w:pPr>
        <w:jc w:val="left"/>
        <w:rPr>
          <w:rFonts w:ascii="Times New Roman" w:hAnsi="Times New Roman" w:eastAsia="Roboto" w:cs="Times New Roman"/>
          <w:color w:val="000000"/>
          <w:sz w:val="20"/>
          <w:szCs w:val="20"/>
          <w:shd w:val="clear" w:color="auto" w:fill="FFFFFF"/>
        </w:rPr>
      </w:pPr>
    </w:p>
    <w:p w14:paraId="2C8F3A3A">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proceedings</w:t>
      </w:r>
    </w:p>
    <w:p w14:paraId="0DB98CF4">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0"/>
          <w:szCs w:val="20"/>
          <w:shd w:val="clear" w:color="auto" w:fill="FFFFFF"/>
        </w:rPr>
        <w:t>Micro Total Analysis Systems 2002, Proceedings of the μTAS 2002 Symposium</w:t>
      </w:r>
      <w:r>
        <w:rPr>
          <w:rFonts w:ascii="Times New Roman" w:hAnsi="Times New Roman" w:eastAsia="Roboto" w:cs="Times New Roman"/>
          <w:color w:val="000000"/>
          <w:sz w:val="20"/>
          <w:szCs w:val="20"/>
          <w:shd w:val="clear" w:color="auto" w:fill="FFFFFF"/>
        </w:rPr>
        <w:t>, Nara, Japan, November 3−7, 2002; Baba, Y., Shoji, S., van den Berg, A., Eds.; Kluwer Academic Publishers: Dordrecht, The Netherlands, 2002; Vol. 2, pp 751−753. DOI: 10.1007/978-94-010-0504-3_50</w:t>
      </w:r>
    </w:p>
    <w:p w14:paraId="226123DD">
      <w:pPr>
        <w:jc w:val="left"/>
        <w:rPr>
          <w:rFonts w:ascii="Times New Roman" w:hAnsi="Times New Roman" w:eastAsia="Roboto" w:cs="Times New Roman"/>
          <w:color w:val="000000"/>
          <w:sz w:val="20"/>
          <w:szCs w:val="20"/>
          <w:shd w:val="clear" w:color="auto" w:fill="FFFFFF"/>
        </w:rPr>
      </w:pPr>
    </w:p>
    <w:p w14:paraId="03A9AA1C">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Database</w:t>
      </w:r>
    </w:p>
    <w:p w14:paraId="1EEF98F7">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SpectraBase</w:t>
      </w:r>
      <w:r>
        <w:rPr>
          <w:rFonts w:ascii="Times New Roman" w:hAnsi="Times New Roman" w:eastAsia="Roboto" w:cs="Times New Roman"/>
          <w:color w:val="000000"/>
          <w:sz w:val="20"/>
          <w:szCs w:val="20"/>
          <w:shd w:val="clear" w:color="auto" w:fill="FFFFFF"/>
        </w:rPr>
        <w:t>. Bio-Rad Laboratories. https://spectrabase.com/ (accessed 2020-01-05).</w:t>
      </w:r>
    </w:p>
    <w:p w14:paraId="68CBF652">
      <w:pPr>
        <w:jc w:val="left"/>
        <w:rPr>
          <w:rFonts w:ascii="Times New Roman" w:hAnsi="Times New Roman" w:eastAsia="Roboto" w:cs="Times New Roman"/>
          <w:color w:val="000000"/>
          <w:sz w:val="20"/>
          <w:szCs w:val="20"/>
          <w:shd w:val="clear" w:color="auto" w:fill="FFFFFF"/>
        </w:rPr>
      </w:pPr>
    </w:p>
    <w:p w14:paraId="73B5A9A3">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Patent</w:t>
      </w:r>
    </w:p>
    <w:p w14:paraId="1B39CA1A">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Stern, M. K.; Cheng, B. K. M. Process for preparing N-(p-nitroaryl)amides via reaction of nitrobenzene with nitriles. US 5380946, 1995.</w:t>
      </w:r>
    </w:p>
    <w:p w14:paraId="130B12E7">
      <w:pPr>
        <w:jc w:val="left"/>
        <w:rPr>
          <w:rFonts w:ascii="Times New Roman" w:hAnsi="Times New Roman" w:eastAsia="Roboto" w:cs="Times New Roman"/>
          <w:color w:val="000000"/>
          <w:sz w:val="20"/>
          <w:szCs w:val="20"/>
          <w:shd w:val="clear" w:color="auto" w:fill="FFFFFF"/>
        </w:rPr>
      </w:pPr>
    </w:p>
    <w:p w14:paraId="2AE0D806">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Preprint</w:t>
      </w:r>
    </w:p>
    <w:p w14:paraId="0ECC2930">
      <w:pPr>
        <w:jc w:val="left"/>
        <w:rPr>
          <w:rFonts w:ascii="Times New Roman" w:hAnsi="Times New Roman" w:eastAsia="宋体" w:cs="Times New Roman"/>
          <w:bCs/>
          <w:i/>
          <w:iCs/>
          <w:color w:val="000000"/>
          <w:kern w:val="0"/>
          <w:sz w:val="20"/>
          <w:szCs w:val="20"/>
        </w:rPr>
      </w:pPr>
      <w:r>
        <w:rPr>
          <w:rFonts w:ascii="Times New Roman" w:hAnsi="Times New Roman" w:eastAsia="Roboto" w:cs="Times New Roman"/>
          <w:color w:val="000000"/>
          <w:sz w:val="20"/>
          <w:szCs w:val="20"/>
          <w:shd w:val="clear" w:color="auto" w:fill="FFFFFF"/>
        </w:rPr>
        <w:t>Yamamoto</w:t>
      </w:r>
      <w:r>
        <w:rPr>
          <w:rFonts w:ascii="Times New Roman" w:hAnsi="Times New Roman" w:eastAsia="宋体" w:cs="Times New Roman"/>
          <w:color w:val="000000"/>
          <w:sz w:val="20"/>
          <w:szCs w:val="20"/>
          <w:shd w:val="clear" w:color="auto" w:fill="FFFFFF"/>
        </w:rPr>
        <w:t xml:space="preserve"> T. S.;</w:t>
      </w:r>
      <w:r>
        <w:rPr>
          <w:rFonts w:ascii="Times New Roman" w:hAnsi="Times New Roman" w:eastAsia="Roboto" w:cs="Times New Roman"/>
          <w:color w:val="000000"/>
          <w:sz w:val="20"/>
          <w:szCs w:val="20"/>
          <w:shd w:val="clear" w:color="auto" w:fill="FFFFFF"/>
        </w:rPr>
        <w:t xml:space="preserve"> Inui</w:t>
      </w:r>
      <w:r>
        <w:rPr>
          <w:rFonts w:ascii="Times New Roman" w:hAnsi="Times New Roman" w:eastAsia="宋体" w:cs="Times New Roman"/>
          <w:color w:val="000000"/>
          <w:sz w:val="20"/>
          <w:szCs w:val="20"/>
          <w:shd w:val="clear" w:color="auto" w:fill="FFFFFF"/>
        </w:rPr>
        <w:t xml:space="preserve"> R.;</w:t>
      </w:r>
      <w:r>
        <w:rPr>
          <w:rFonts w:ascii="Times New Roman" w:hAnsi="Times New Roman" w:eastAsia="Roboto" w:cs="Times New Roman"/>
          <w:color w:val="000000"/>
          <w:sz w:val="20"/>
          <w:szCs w:val="20"/>
          <w:shd w:val="clear" w:color="auto" w:fill="FFFFFF"/>
        </w:rPr>
        <w:t xml:space="preserve"> Tada</w:t>
      </w:r>
      <w:r>
        <w:rPr>
          <w:rFonts w:ascii="Times New Roman" w:hAnsi="Times New Roman" w:eastAsia="宋体" w:cs="Times New Roman"/>
          <w:color w:val="000000"/>
          <w:sz w:val="20"/>
          <w:szCs w:val="20"/>
          <w:shd w:val="clear" w:color="auto" w:fill="FFFFFF"/>
        </w:rPr>
        <w:t xml:space="preserve"> Y.;</w:t>
      </w:r>
      <w:r>
        <w:rPr>
          <w:rFonts w:ascii="Times New Roman" w:hAnsi="Times New Roman" w:eastAsia="Roboto" w:cs="Times New Roman"/>
          <w:color w:val="000000"/>
          <w:sz w:val="20"/>
          <w:szCs w:val="20"/>
          <w:shd w:val="clear" w:color="auto" w:fill="FFFFFF"/>
        </w:rPr>
        <w:t xml:space="preserve"> Yokoyama</w:t>
      </w:r>
      <w:r>
        <w:rPr>
          <w:rFonts w:ascii="Times New Roman" w:hAnsi="Times New Roman" w:eastAsia="宋体" w:cs="Times New Roman"/>
          <w:color w:val="000000"/>
          <w:sz w:val="20"/>
          <w:szCs w:val="20"/>
          <w:shd w:val="clear" w:color="auto" w:fill="FFFFFF"/>
        </w:rPr>
        <w:t xml:space="preserve"> S</w:t>
      </w:r>
      <w:r>
        <w:rPr>
          <w:rFonts w:ascii="Times New Roman" w:hAnsi="Times New Roman" w:eastAsia="Roboto" w:cs="Times New Roman"/>
          <w:color w:val="000000"/>
          <w:sz w:val="20"/>
          <w:szCs w:val="20"/>
          <w:shd w:val="clear" w:color="auto" w:fill="FFFFFF"/>
        </w:rPr>
        <w:t>. Prospects of detection of subsolar mass primordial black hole and white dwarf binary mergers. </w:t>
      </w:r>
      <w:r>
        <w:rPr>
          <w:rFonts w:ascii="Times New Roman" w:hAnsi="Times New Roman" w:eastAsia="Roboto" w:cs="Times New Roman"/>
          <w:i/>
          <w:iCs/>
          <w:color w:val="000000"/>
          <w:sz w:val="20"/>
          <w:szCs w:val="20"/>
          <w:shd w:val="clear" w:color="auto" w:fill="FFFFFF"/>
        </w:rPr>
        <w:t>arXiv</w:t>
      </w:r>
      <w:r>
        <w:rPr>
          <w:rFonts w:ascii="Times New Roman" w:hAnsi="Times New Roman" w:eastAsia="Roboto" w:cs="Times New Roman"/>
          <w:color w:val="000000"/>
          <w:sz w:val="20"/>
          <w:szCs w:val="20"/>
          <w:shd w:val="clear" w:color="auto" w:fill="FFFFFF"/>
        </w:rPr>
        <w:t> </w:t>
      </w:r>
      <w:r>
        <w:rPr>
          <w:rFonts w:ascii="Times New Roman" w:hAnsi="Times New Roman" w:eastAsia="Roboto" w:cs="Times New Roman"/>
          <w:b/>
          <w:bCs/>
          <w:color w:val="000000"/>
          <w:sz w:val="20"/>
          <w:szCs w:val="20"/>
          <w:shd w:val="clear" w:color="auto" w:fill="FFFFFF"/>
        </w:rPr>
        <w:t>2004</w:t>
      </w:r>
      <w:r>
        <w:rPr>
          <w:rFonts w:ascii="Times New Roman" w:hAnsi="Times New Roman" w:eastAsia="Roboto" w:cs="Times New Roman"/>
          <w:color w:val="000000"/>
          <w:sz w:val="20"/>
          <w:szCs w:val="20"/>
          <w:shd w:val="clear" w:color="auto" w:fill="FFFFFF"/>
        </w:rPr>
        <w:t xml:space="preserve">, arXiv:2401.00044. Available online: https://arxiv.org/abs/2401.00044 (accessed </w:t>
      </w:r>
      <w:r>
        <w:rPr>
          <w:rFonts w:ascii="Times New Roman" w:hAnsi="Times New Roman" w:eastAsia="宋体" w:cs="Times New Roman"/>
          <w:color w:val="000000"/>
          <w:sz w:val="20"/>
          <w:szCs w:val="20"/>
          <w:shd w:val="clear" w:color="auto" w:fill="FFFFFF"/>
        </w:rPr>
        <w:t>29</w:t>
      </w:r>
      <w:r>
        <w:rPr>
          <w:rFonts w:ascii="Times New Roman" w:hAnsi="Times New Roman" w:eastAsia="Roboto" w:cs="Times New Roman"/>
          <w:color w:val="000000"/>
          <w:sz w:val="20"/>
          <w:szCs w:val="20"/>
          <w:shd w:val="clear" w:color="auto" w:fill="FFFFFF"/>
        </w:rPr>
        <w:t xml:space="preserve"> </w:t>
      </w:r>
      <w:r>
        <w:rPr>
          <w:rFonts w:ascii="Times New Roman" w:hAnsi="Times New Roman" w:eastAsia="宋体" w:cs="Times New Roman"/>
          <w:color w:val="000000"/>
          <w:sz w:val="20"/>
          <w:szCs w:val="20"/>
          <w:shd w:val="clear" w:color="auto" w:fill="FFFFFF"/>
        </w:rPr>
        <w:t>December</w:t>
      </w:r>
      <w:r>
        <w:rPr>
          <w:rFonts w:ascii="Times New Roman" w:hAnsi="Times New Roman" w:eastAsia="Roboto" w:cs="Times New Roman"/>
          <w:color w:val="000000"/>
          <w:sz w:val="20"/>
          <w:szCs w:val="20"/>
          <w:shd w:val="clear" w:color="auto" w:fill="FFFFFF"/>
        </w:rPr>
        <w:t xml:space="preserve"> 20</w:t>
      </w:r>
      <w:r>
        <w:rPr>
          <w:rFonts w:ascii="Times New Roman" w:hAnsi="Times New Roman" w:eastAsia="宋体" w:cs="Times New Roman"/>
          <w:color w:val="000000"/>
          <w:sz w:val="20"/>
          <w:szCs w:val="20"/>
          <w:shd w:val="clear" w:color="auto" w:fill="FFFFFF"/>
        </w:rPr>
        <w:t>23</w:t>
      </w:r>
      <w:r>
        <w:rPr>
          <w:rFonts w:ascii="Times New Roman" w:hAnsi="Times New Roman" w:eastAsia="Roboto" w:cs="Times New Roman"/>
          <w:color w:val="000000"/>
          <w:sz w:val="20"/>
          <w:szCs w:val="20"/>
          <w:shd w:val="clear" w:color="auto" w:fill="FFFFFF"/>
        </w:rPr>
        <w:t>).</w:t>
      </w:r>
      <w:r>
        <w:rPr>
          <w:rFonts w:ascii="Times New Roman" w:hAnsi="Times New Roman" w:eastAsia="宋体" w:cs="Times New Roman"/>
          <w:color w:val="000000"/>
          <w:sz w:val="20"/>
          <w:szCs w:val="20"/>
          <w:shd w:val="clear" w:color="auto" w:fill="FFFFFF"/>
        </w:rPr>
        <w:t xml:space="preserve"> </w:t>
      </w:r>
    </w:p>
    <w:p w14:paraId="6BCC1854">
      <w:pPr>
        <w:rPr>
          <w:rFonts w:ascii="Times New Roman" w:hAnsi="Times New Roman"/>
          <w:color w:val="000000"/>
          <w:kern w:val="0"/>
          <w:sz w:val="20"/>
          <w:szCs w:val="20"/>
        </w:rPr>
      </w:pP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013E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F70A4">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693DA">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B92D7BB">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B6AE9FE">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lang w:val="en-US" w:eastAsia="zh-CN"/>
      </w:rPr>
      <w:t xml:space="preserve">         </w:t>
    </w:r>
    <w:r>
      <w:rPr>
        <w:b/>
        <w:bCs/>
        <w:sz w:val="16"/>
        <w:szCs w:val="16"/>
      </w:rPr>
      <w:t xml:space="preserve"> </w:t>
    </w:r>
    <w:r>
      <w:rPr>
        <w:rFonts w:hint="eastAsia"/>
        <w:b/>
        <w:bCs/>
        <w:sz w:val="16"/>
        <w:szCs w:val="16"/>
      </w:rPr>
      <w:t xml:space="preserve">         </w:t>
    </w:r>
  </w:p>
  <w:p w14:paraId="1F9F6C93">
    <w:pPr>
      <w:pStyle w:val="6"/>
      <w:jc w:val="right"/>
    </w:pPr>
    <w:r>
      <w:rPr>
        <w:rFonts w:hint="eastAsia"/>
        <w:b/>
        <w:bCs/>
        <w:sz w:val="16"/>
        <w:szCs w:val="16"/>
      </w:rPr>
      <w:fldChar w:fldCharType="begin"/>
    </w:r>
    <w:r>
      <w:rPr>
        <w:rFonts w:hint="eastAsia"/>
        <w:b/>
        <w:bCs/>
        <w:sz w:val="16"/>
        <w:szCs w:val="16"/>
      </w:rPr>
      <w:instrText xml:space="preserve"> HYPERLINK "https://www.oaepublish.com/foodecology" </w:instrText>
    </w:r>
    <w:r>
      <w:rPr>
        <w:rFonts w:hint="eastAsia"/>
        <w:b/>
        <w:bCs/>
        <w:sz w:val="16"/>
        <w:szCs w:val="16"/>
      </w:rPr>
      <w:fldChar w:fldCharType="separate"/>
    </w:r>
    <w:r>
      <w:rPr>
        <w:rStyle w:val="14"/>
        <w:rFonts w:hint="eastAsia"/>
        <w:b/>
        <w:bCs/>
        <w:sz w:val="16"/>
        <w:szCs w:val="16"/>
      </w:rPr>
      <w:t>https://www.oaepublish.com/</w:t>
    </w:r>
    <w:r>
      <w:rPr>
        <w:rStyle w:val="14"/>
        <w:rFonts w:hint="eastAsia"/>
        <w:b/>
        <w:bCs/>
        <w:sz w:val="16"/>
        <w:szCs w:val="16"/>
        <w:lang w:eastAsia="zh-CN"/>
      </w:rPr>
      <w:t>aec</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BE43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Energy Conversion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aec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DD2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Energy Conversion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aec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7" w:name="OLE_LINK5"/>
    <w:r>
      <mc:AlternateContent>
        <mc:Choice Requires="wps">
          <w:drawing>
            <wp:anchor distT="0" distB="0" distL="114300" distR="114300" simplePos="0" relativeHeight="251661312" behindDoc="0" locked="0" layoutInCell="1" allowOverlap="1">
              <wp:simplePos x="0" y="0"/>
              <wp:positionH relativeFrom="column">
                <wp:posOffset>2472055</wp:posOffset>
              </wp:positionH>
              <wp:positionV relativeFrom="paragraph">
                <wp:posOffset>-34925</wp:posOffset>
              </wp:positionV>
              <wp:extent cx="28886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888615" cy="481965"/>
                      </a:xfrm>
                      <a:prstGeom prst="rect">
                        <a:avLst/>
                      </a:prstGeom>
                      <a:solidFill>
                        <a:srgbClr val="FFFFFF">
                          <a:alpha val="0"/>
                        </a:srgbClr>
                      </a:solidFill>
                      <a:ln>
                        <a:noFill/>
                      </a:ln>
                      <a:effectLst/>
                    </wps:spPr>
                    <wps:txbx>
                      <w:txbxContent>
                        <w:p w14:paraId="1CB7DB53">
                          <w:pPr>
                            <w:rPr>
                              <w:rFonts w:hint="eastAsia" w:ascii="Arial" w:hAnsi="Arial"/>
                              <w:b/>
                              <w:color w:val="003F9A"/>
                              <w:sz w:val="30"/>
                              <w:szCs w:val="30"/>
                              <w:lang w:val="en-US" w:eastAsia="zh-CN"/>
                            </w:rPr>
                          </w:pPr>
                          <w:r>
                            <w:rPr>
                              <w:rFonts w:hint="eastAsia" w:ascii="Arial" w:hAnsi="Arial"/>
                              <w:b/>
                              <w:color w:val="003F9A"/>
                              <w:sz w:val="30"/>
                              <w:szCs w:val="30"/>
                              <w:lang w:val="en-US" w:eastAsia="zh-CN"/>
                            </w:rPr>
                            <w:t>Advanced Energy Conversion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65pt;margin-top:-2.75pt;height:37.95pt;width:227.45pt;z-index:251661312;mso-width-relative:page;mso-height-relative:page;" fillcolor="#FFFFFF" filled="t" stroked="f" coordsize="21600,21600" o:gfxdata="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&#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f+VRB2QAAAAkBAAAPAAAAAAAAAAEAIAAAACIAAABk&#10;cnMvZG93bnJldi54bWxQSwECFAAUAAAACACHTuJAPSj9Kz4CAABrBAAADgAAAAAAAAABACAAAAAo&#10;AQAAZHJzL2Uyb0RvYy54bWxQSwUGAAAAAAYABgBZAQAA2AUAAAAA&#10;">
              <v:fill on="t" opacity="0f" focussize="0,0"/>
              <v:stroke on="f"/>
              <v:imagedata o:title=""/>
              <o:lock v:ext="edit" aspectratio="f"/>
              <v:textbox>
                <w:txbxContent>
                  <w:p w14:paraId="1CB7DB53">
                    <w:pPr>
                      <w:rPr>
                        <w:rFonts w:hint="eastAsia" w:ascii="Arial" w:hAnsi="Arial"/>
                        <w:b/>
                        <w:color w:val="003F9A"/>
                        <w:sz w:val="30"/>
                        <w:szCs w:val="30"/>
                        <w:lang w:val="en-US" w:eastAsia="zh-CN"/>
                      </w:rPr>
                    </w:pPr>
                    <w:r>
                      <w:rPr>
                        <w:rFonts w:hint="eastAsia" w:ascii="Arial" w:hAnsi="Arial"/>
                        <w:b/>
                        <w:color w:val="003F9A"/>
                        <w:sz w:val="30"/>
                        <w:szCs w:val="30"/>
                        <w:lang w:val="en-US" w:eastAsia="zh-CN"/>
                      </w:rPr>
                      <w:t>Advanced Energy Conversion</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eastAsia="zh-CN"/>
      </w:rPr>
      <w:t>Energy Conversion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7"/>
    <w:r>
      <w:rPr>
        <w:rFonts w:ascii="Times New Roman" w:hAnsi="Times New Roman" w:cs="Times New Roman"/>
        <w:sz w:val="16"/>
        <w:szCs w:val="16"/>
      </w:rPr>
      <w:t>10.20517/</w:t>
    </w:r>
    <w:r>
      <w:rPr>
        <w:rFonts w:hint="eastAsia" w:ascii="Times New Roman" w:hAnsi="Times New Roman" w:cs="Times New Roman"/>
        <w:sz w:val="16"/>
        <w:szCs w:val="16"/>
        <w:lang w:val="en-US" w:eastAsia="zh-CN"/>
      </w:rPr>
      <w:t>aec</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6E6767C8">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6C98"/>
    <w:rsid w:val="00154CAD"/>
    <w:rsid w:val="00172A27"/>
    <w:rsid w:val="00187D12"/>
    <w:rsid w:val="0019510B"/>
    <w:rsid w:val="001B2247"/>
    <w:rsid w:val="001C08C1"/>
    <w:rsid w:val="001D543F"/>
    <w:rsid w:val="002365C3"/>
    <w:rsid w:val="00273491"/>
    <w:rsid w:val="00292D7D"/>
    <w:rsid w:val="002A3A69"/>
    <w:rsid w:val="002D1AC0"/>
    <w:rsid w:val="00314528"/>
    <w:rsid w:val="00324C88"/>
    <w:rsid w:val="00331E76"/>
    <w:rsid w:val="00347810"/>
    <w:rsid w:val="00354699"/>
    <w:rsid w:val="003608FF"/>
    <w:rsid w:val="00375BA8"/>
    <w:rsid w:val="003A6DAF"/>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84818"/>
    <w:rsid w:val="005A2664"/>
    <w:rsid w:val="005C1F9C"/>
    <w:rsid w:val="005D1BA3"/>
    <w:rsid w:val="005F43A5"/>
    <w:rsid w:val="005F73AE"/>
    <w:rsid w:val="006050F9"/>
    <w:rsid w:val="00611D7C"/>
    <w:rsid w:val="00620996"/>
    <w:rsid w:val="006239A0"/>
    <w:rsid w:val="00626EE5"/>
    <w:rsid w:val="00637595"/>
    <w:rsid w:val="00680726"/>
    <w:rsid w:val="006A51A6"/>
    <w:rsid w:val="006C0F6D"/>
    <w:rsid w:val="006D2211"/>
    <w:rsid w:val="0070133A"/>
    <w:rsid w:val="00713F5D"/>
    <w:rsid w:val="007202FE"/>
    <w:rsid w:val="007362D8"/>
    <w:rsid w:val="007504EF"/>
    <w:rsid w:val="007523DF"/>
    <w:rsid w:val="007B002F"/>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0755"/>
    <w:rsid w:val="0097300C"/>
    <w:rsid w:val="009C1A6B"/>
    <w:rsid w:val="009C3280"/>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1698E"/>
    <w:rsid w:val="00B238FC"/>
    <w:rsid w:val="00B42AC5"/>
    <w:rsid w:val="00B531B1"/>
    <w:rsid w:val="00B7260C"/>
    <w:rsid w:val="00BA2D0D"/>
    <w:rsid w:val="00BB3538"/>
    <w:rsid w:val="00BF48F7"/>
    <w:rsid w:val="00C14AFA"/>
    <w:rsid w:val="00C5076C"/>
    <w:rsid w:val="00C51CF2"/>
    <w:rsid w:val="00C60711"/>
    <w:rsid w:val="00C6365E"/>
    <w:rsid w:val="00C8474E"/>
    <w:rsid w:val="00CA24BB"/>
    <w:rsid w:val="00CA2500"/>
    <w:rsid w:val="00CC1714"/>
    <w:rsid w:val="00D00D59"/>
    <w:rsid w:val="00D16246"/>
    <w:rsid w:val="00D536BC"/>
    <w:rsid w:val="00D81BA4"/>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E0F10"/>
    <w:rsid w:val="00EE548B"/>
    <w:rsid w:val="00F42010"/>
    <w:rsid w:val="00F8698D"/>
    <w:rsid w:val="00FC4246"/>
    <w:rsid w:val="00FD1535"/>
    <w:rsid w:val="0109259B"/>
    <w:rsid w:val="0109472D"/>
    <w:rsid w:val="011016B5"/>
    <w:rsid w:val="01140D68"/>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E16EF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7B75F9"/>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4D35"/>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3DE7"/>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1D4C62"/>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87ABB"/>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0E5E"/>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F6F8E"/>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073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976E4B"/>
    <w:rsid w:val="41A261AC"/>
    <w:rsid w:val="41AB0C98"/>
    <w:rsid w:val="41AC71D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3580B"/>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0A6D86"/>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E71C5"/>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2B9B"/>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7E5A1A"/>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163D1"/>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99"/>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99"/>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99"/>
    <w:pPr>
      <w:spacing w:before="120" w:after="120"/>
      <w:ind w:left="709" w:firstLine="0"/>
      <w:jc w:val="center"/>
    </w:pPr>
  </w:style>
  <w:style w:type="paragraph" w:customStyle="1" w:styleId="28">
    <w:name w:val="OAE_3.1_text"/>
    <w:qFormat/>
    <w:uiPriority w:val="99"/>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99"/>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paragraph" w:customStyle="1" w:styleId="36">
    <w:name w:val="MDPI_5.2_figure"/>
    <w:qFormat/>
    <w:uiPriority w:val="99"/>
    <w:pPr>
      <w:snapToGrid w:val="0"/>
      <w:jc w:val="center"/>
    </w:pPr>
    <w:rPr>
      <w:rFonts w:ascii="Palatino Linotype" w:hAnsi="Palatino Linotype" w:eastAsia="Times New Roman" w:cstheme="minorBidi"/>
      <w:color w:val="000000"/>
      <w:sz w:val="24"/>
      <w:szCs w:val="22"/>
      <w:lang w:val="en-US" w:eastAsia="de-DE" w:bidi="en-US"/>
    </w:rPr>
  </w:style>
  <w:style w:type="paragraph" w:customStyle="1" w:styleId="37">
    <w:name w:val="MDPI_4.2_table_body"/>
    <w:qFormat/>
    <w:uiPriority w:val="99"/>
    <w:pPr>
      <w:adjustRightInd w:val="0"/>
      <w:snapToGrid w:val="0"/>
    </w:pPr>
    <w:rPr>
      <w:rFonts w:ascii="Palatino Linotype" w:hAnsi="Palatino Linotype" w:eastAsia="Times New Roman" w:cstheme="minorBidi"/>
      <w:color w:val="000000"/>
      <w:sz w:val="21"/>
      <w:szCs w:val="22"/>
      <w:lang w:val="en-US" w:eastAsia="de-DE" w:bidi="en-US"/>
    </w:rPr>
  </w:style>
  <w:style w:type="paragraph" w:customStyle="1" w:styleId="38">
    <w:name w:val="MDPI_3.1_text"/>
    <w:qFormat/>
    <w:uiPriority w:val="99"/>
    <w:pPr>
      <w:adjustRightInd w:val="0"/>
      <w:snapToGrid w:val="0"/>
      <w:spacing w:line="260" w:lineRule="atLeast"/>
      <w:ind w:firstLine="425"/>
      <w:jc w:val="both"/>
    </w:pPr>
    <w:rPr>
      <w:rFonts w:ascii="Palatino Linotype" w:hAnsi="Palatino Linotype" w:eastAsia="Times New Roman" w:cs="Times New Roman"/>
      <w:color w:val="000000"/>
      <w:sz w:val="21"/>
      <w:szCs w:val="22"/>
      <w:lang w:val="en-US" w:eastAsia="de-DE" w:bidi="en-US"/>
    </w:rPr>
  </w:style>
  <w:style w:type="paragraph" w:customStyle="1" w:styleId="39">
    <w:name w:val="MDPI_3.a_equation_number"/>
    <w:basedOn w:val="38"/>
    <w:qFormat/>
    <w:uiPriority w:val="99"/>
  </w:style>
  <w:style w:type="paragraph" w:customStyle="1" w:styleId="40">
    <w:name w:val="MDPI_3.9_equation"/>
    <w:basedOn w:val="38"/>
    <w:qFormat/>
    <w:uiPriority w:val="99"/>
    <w:pPr>
      <w:spacing w:before="120" w:after="120"/>
      <w:ind w:left="709" w:firstLine="0"/>
      <w:jc w:val="center"/>
    </w:pPr>
  </w:style>
  <w:style w:type="character" w:customStyle="1" w:styleId="41">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png"/><Relationship Id="rId15" Type="http://schemas.openxmlformats.org/officeDocument/2006/relationships/image" Target="media/image7.jpeg"/><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emf"/><Relationship Id="rId10" Type="http://schemas.openxmlformats.org/officeDocument/2006/relationships/image" Target="media/image3.emf"/><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2044</Words>
  <Characters>12160</Characters>
  <Lines>104</Lines>
  <Paragraphs>29</Paragraphs>
  <TotalTime>0</TotalTime>
  <ScaleCrop>false</ScaleCrop>
  <LinksUpToDate>false</LinksUpToDate>
  <CharactersWithSpaces>14048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稀饭爱汤圆</cp:lastModifiedBy>
  <dcterms:modified xsi:type="dcterms:W3CDTF">2025-11-28T06:42:35Z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DD565D8E0FED47A18D0FEBA68D26F08D_13</vt:lpwstr>
  </property>
  <property fmtid="{D5CDD505-2E9C-101B-9397-08002B2CF9AE}" pid="4" name="KSOTemplateDocerSaveRecord">
    <vt:lpwstr>eyJoZGlkIjoiOTA2YjY0NTI4MmE5YmJlN2Y2YTBlYjlhZTYyNzliNGUiLCJ1c2VySWQiOiIyNDgzNDAxMTYifQ==</vt:lpwstr>
  </property>
</Properties>
</file>