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2D" w:rsidRDefault="00CB042D" w:rsidP="00CB042D">
      <w:pPr>
        <w:rPr>
          <w:rFonts w:ascii="Times New Roman" w:hAnsi="Times New Roman"/>
          <w:sz w:val="24"/>
          <w:lang w:eastAsia="zh-CN"/>
        </w:rPr>
      </w:pPr>
      <w:proofErr w:type="gramStart"/>
      <w:r w:rsidRPr="00781E37">
        <w:rPr>
          <w:rFonts w:ascii="Times New Roman" w:hAnsi="Times New Roman"/>
          <w:b/>
          <w:sz w:val="24"/>
        </w:rPr>
        <w:t xml:space="preserve">Supplementary Table </w:t>
      </w:r>
      <w:r w:rsidRPr="00781E37">
        <w:rPr>
          <w:rFonts w:ascii="Times New Roman" w:hAnsi="Times New Roman"/>
          <w:b/>
          <w:sz w:val="24"/>
          <w:lang w:eastAsia="zh-CN"/>
        </w:rPr>
        <w:t>1</w:t>
      </w:r>
      <w:r>
        <w:rPr>
          <w:rFonts w:ascii="Times New Roman" w:hAnsi="Times New Roman"/>
          <w:sz w:val="24"/>
          <w:lang w:eastAsia="zh-CN"/>
        </w:rPr>
        <w:t>.</w:t>
      </w:r>
      <w:proofErr w:type="gramEnd"/>
      <w:r>
        <w:rPr>
          <w:rFonts w:ascii="Times New Roman" w:hAnsi="Times New Roman"/>
          <w:sz w:val="24"/>
          <w:lang w:eastAsia="zh-CN"/>
        </w:rPr>
        <w:t xml:space="preserve"> A</w:t>
      </w:r>
      <w:r>
        <w:rPr>
          <w:rFonts w:ascii="Times New Roman" w:eastAsia="宋体" w:hAnsi="Times New Roman"/>
          <w:color w:val="000000"/>
          <w:sz w:val="24"/>
          <w:shd w:val="clear" w:color="auto" w:fill="FFFFFF"/>
        </w:rPr>
        <w:t xml:space="preserve"> list of abbreviations of </w:t>
      </w:r>
      <w:bookmarkStart w:id="0" w:name="OLE_LINK1"/>
      <w:bookmarkStart w:id="1" w:name="OLE_LINK2"/>
      <w:r>
        <w:rPr>
          <w:rFonts w:ascii="Times New Roman" w:eastAsia="宋体" w:hAnsi="Times New Roman"/>
          <w:color w:val="000000"/>
          <w:sz w:val="24"/>
          <w:shd w:val="clear" w:color="auto" w:fill="FFFFFF"/>
        </w:rPr>
        <w:t xml:space="preserve">protein </w:t>
      </w:r>
      <w:bookmarkEnd w:id="0"/>
      <w:bookmarkEnd w:id="1"/>
      <w:r>
        <w:rPr>
          <w:rFonts w:ascii="Times New Roman" w:eastAsia="宋体" w:hAnsi="Times New Roman"/>
          <w:color w:val="000000"/>
          <w:sz w:val="24"/>
          <w:shd w:val="clear" w:color="auto" w:fill="FFFFFF"/>
        </w:rPr>
        <w:t xml:space="preserve">products detected by total </w:t>
      </w:r>
      <w:r>
        <w:rPr>
          <w:rFonts w:ascii="Times New Roman" w:eastAsia="宋体" w:hAnsi="Times New Roman"/>
          <w:color w:val="000000"/>
          <w:sz w:val="24"/>
          <w:shd w:val="clear" w:color="auto" w:fill="FFFFFF"/>
          <w:lang w:eastAsia="zh-CN"/>
        </w:rPr>
        <w:t xml:space="preserve">RNA </w:t>
      </w:r>
      <w:proofErr w:type="spellStart"/>
      <w:r>
        <w:rPr>
          <w:rFonts w:ascii="Times New Roman" w:eastAsia="宋体" w:hAnsi="Times New Roman"/>
          <w:color w:val="000000"/>
          <w:sz w:val="24"/>
          <w:shd w:val="clear" w:color="auto" w:fill="FFFFFF"/>
        </w:rPr>
        <w:t>transcriptome</w:t>
      </w:r>
      <w:proofErr w:type="spellEnd"/>
      <w:r>
        <w:rPr>
          <w:rFonts w:ascii="Times New Roman" w:eastAsia="宋体" w:hAnsi="Times New Roman"/>
          <w:color w:val="000000"/>
          <w:sz w:val="24"/>
          <w:shd w:val="clear" w:color="auto" w:fill="FFFFFF"/>
        </w:rPr>
        <w:t xml:space="preserve"> signature analysis</w:t>
      </w:r>
    </w:p>
    <w:tbl>
      <w:tblPr>
        <w:tblStyle w:val="a3"/>
        <w:tblpPr w:leftFromText="180" w:rightFromText="180" w:vertAnchor="page" w:horzAnchor="page" w:tblpX="1630" w:tblpY="2756"/>
        <w:tblOverlap w:val="never"/>
        <w:tblW w:w="8522" w:type="dxa"/>
        <w:tblLayout w:type="fixed"/>
        <w:tblLook w:val="04A0"/>
      </w:tblPr>
      <w:tblGrid>
        <w:gridCol w:w="2745"/>
        <w:gridCol w:w="5777"/>
      </w:tblGrid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Adam-17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Tumor necrosis factor converting enzyme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CCR5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Chemokine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receptor for CCL3, CCL4,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Rantes</w:t>
            </w:r>
            <w:proofErr w:type="spellEnd"/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CD24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Cell adhesion molecule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CD44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Hematopoiesis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and metastasis regulator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CD45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Protein tyrosine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phosphatase</w:t>
            </w:r>
            <w:proofErr w:type="spellEnd"/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CD86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T-cell activation and cell survival factor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CXCL8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Interleukin-8, </w:t>
            </w:r>
            <w:proofErr w:type="spellStart"/>
            <w:r>
              <w:rPr>
                <w:rStyle w:val="font11"/>
                <w:rFonts w:ascii="Times New Roman" w:hAnsi="Times New Roman" w:hint="default"/>
                <w:lang w:eastAsia="zh-CN"/>
              </w:rPr>
              <w:t>neutrophil</w:t>
            </w:r>
            <w:proofErr w:type="spellEnd"/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 </w:t>
            </w:r>
            <w:proofErr w:type="spellStart"/>
            <w:r>
              <w:rPr>
                <w:rStyle w:val="font11"/>
                <w:rFonts w:ascii="Times New Roman" w:hAnsi="Times New Roman" w:hint="default"/>
                <w:lang w:eastAsia="zh-CN"/>
              </w:rPr>
              <w:t>chemotactic</w:t>
            </w:r>
            <w:proofErr w:type="spellEnd"/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 factor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CXCR4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Receptor for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chemokine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ligands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CXCL12 (SDF-1)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DDIT4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DNA damage inducible protein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EpCAM</w:t>
            </w:r>
            <w:proofErr w:type="spellEnd"/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Epithelial cell adhesion molecule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GPα</w:t>
            </w:r>
            <w:proofErr w:type="spellEnd"/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Interferon-induced G-protein binding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IL-1B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Interleukin-1 beta lymphocyte activating factor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IL-8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Chemokine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ligand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CXCL8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Integrin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lang w:eastAsia="zh-CN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lpha-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IIb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eta 3a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Platelet Aggregation factor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Integrin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lang w:eastAsia="zh-CN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lpha-2, </w:t>
            </w:r>
            <w:r>
              <w:rPr>
                <w:rFonts w:ascii="Times New Roman" w:hAnsi="Times New Roman" w:hint="eastAsia"/>
                <w:color w:val="000000"/>
                <w:sz w:val="24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eta-1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Initiates complement factor cascade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NFkβ</w:t>
            </w:r>
            <w:proofErr w:type="spellEnd"/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Protein complex controlling DNA transcription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NOTCH-1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Hematopoietic and metastasis regulator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P53AIP1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Mediator of p53-dependent apoptosis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PARP6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Polymerase for DNA repair and stabilization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PDGF-B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Platelet-derived growth factor, </w:t>
            </w:r>
            <w:proofErr w:type="spellStart"/>
            <w:r>
              <w:rPr>
                <w:rStyle w:val="font11"/>
                <w:rFonts w:ascii="Times New Roman" w:hAnsi="Times New Roman" w:hint="default"/>
                <w:lang w:eastAsia="zh-CN"/>
              </w:rPr>
              <w:t>mitogen</w:t>
            </w:r>
            <w:proofErr w:type="spellEnd"/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 subunit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SLCα</w:t>
            </w:r>
            <w:proofErr w:type="spellEnd"/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>Glucose transporter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TNF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Tumor necrosis factor</w:t>
            </w:r>
          </w:p>
        </w:tc>
      </w:tr>
      <w:tr w:rsidR="00CB042D" w:rsidTr="00AC4696"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SRGN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Hematopoietic </w:t>
            </w:r>
            <w:proofErr w:type="spellStart"/>
            <w:r>
              <w:rPr>
                <w:rStyle w:val="font11"/>
                <w:rFonts w:ascii="Times New Roman" w:hAnsi="Times New Roman" w:hint="default"/>
                <w:lang w:eastAsia="zh-CN"/>
              </w:rPr>
              <w:t>proteoglycan</w:t>
            </w:r>
            <w:proofErr w:type="spellEnd"/>
            <w:r>
              <w:rPr>
                <w:rStyle w:val="font11"/>
                <w:rFonts w:ascii="Times New Roman" w:hAnsi="Times New Roman" w:hint="default"/>
                <w:lang w:eastAsia="zh-CN"/>
              </w:rPr>
              <w:t xml:space="preserve"> for apoptosis</w:t>
            </w:r>
          </w:p>
        </w:tc>
      </w:tr>
      <w:tr w:rsidR="00CB042D" w:rsidTr="00AC4696">
        <w:trPr>
          <w:trHeight w:val="360"/>
        </w:trPr>
        <w:tc>
          <w:tcPr>
            <w:tcW w:w="2745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UPAR</w:t>
            </w:r>
          </w:p>
        </w:tc>
        <w:tc>
          <w:tcPr>
            <w:tcW w:w="5777" w:type="dxa"/>
            <w:vAlign w:val="bottom"/>
          </w:tcPr>
          <w:p w:rsidR="00CB042D" w:rsidRDefault="00CB042D" w:rsidP="00AC4696">
            <w:pPr>
              <w:widowControl/>
              <w:textAlignment w:val="bottom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Urokinase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receptor for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>plasminogen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eastAsia="zh-CN"/>
              </w:rPr>
              <w:t xml:space="preserve"> activation system</w:t>
            </w:r>
          </w:p>
        </w:tc>
      </w:tr>
    </w:tbl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zh-CN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CB042D" w:rsidRDefault="00CB042D" w:rsidP="00CB042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</w:rPr>
      </w:pPr>
    </w:p>
    <w:p w:rsidR="00BE39A3" w:rsidRDefault="00BE39A3"/>
    <w:sectPr w:rsidR="00BE39A3" w:rsidSect="00BE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42D"/>
    <w:rsid w:val="00083C58"/>
    <w:rsid w:val="001B5BE8"/>
    <w:rsid w:val="0067648F"/>
    <w:rsid w:val="006E5218"/>
    <w:rsid w:val="00930CA7"/>
    <w:rsid w:val="00BE39A3"/>
    <w:rsid w:val="00CB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2D"/>
    <w:rPr>
      <w:rFonts w:ascii="Segoe UI" w:hAnsi="Segoe UI" w:cs="Times New Roman"/>
      <w:kern w:val="0"/>
      <w:sz w:val="22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DS">
    <w:name w:val="参考文献 (SDS)"/>
    <w:uiPriority w:val="99"/>
    <w:rsid w:val="006E5218"/>
    <w:rPr>
      <w:rFonts w:ascii="TimesNewRomanPSMT" w:hAnsi="TimesNewRomanPSMT" w:cs="TimesNewRomanPSMT"/>
      <w:color w:val="000000"/>
      <w:spacing w:val="0"/>
      <w:w w:val="100"/>
      <w:sz w:val="16"/>
      <w:szCs w:val="16"/>
      <w:vertAlign w:val="baseline"/>
      <w:lang w:val="en-US"/>
    </w:rPr>
  </w:style>
  <w:style w:type="table" w:styleId="a3">
    <w:name w:val="Table Grid"/>
    <w:basedOn w:val="a1"/>
    <w:uiPriority w:val="59"/>
    <w:rsid w:val="00CB04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CB042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2018-06-12T01:23:00Z</dcterms:created>
  <dcterms:modified xsi:type="dcterms:W3CDTF">2018-06-12T01:24:00Z</dcterms:modified>
</cp:coreProperties>
</file>